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Tr="00A868C3">
        <w:trPr>
          <w:jc w:val="center"/>
        </w:trPr>
        <w:tc>
          <w:tcPr>
            <w:tcW w:w="743" w:type="dxa"/>
          </w:tcPr>
          <w:p w:rsidR="0094424E" w:rsidRPr="008A59EE" w:rsidRDefault="0094424E" w:rsidP="00A868C3">
            <w:pPr>
              <w:suppressLineNumbers/>
              <w:jc w:val="both"/>
              <w:rPr>
                <w:rFonts w:ascii="Arial" w:hAnsi="Arial"/>
                <w:b/>
                <w:bCs/>
                <w:sz w:val="26"/>
                <w:szCs w:val="26"/>
                <w:rtl/>
              </w:rPr>
            </w:pPr>
            <w:bookmarkStart w:id="0" w:name="_GoBack"/>
            <w:bookmarkEnd w:id="0"/>
            <w:r>
              <w:rPr>
                <w:rtl/>
              </w:rPr>
              <w:t xml:space="preserve"> </w:t>
            </w:r>
            <w:r w:rsidR="00A868C3">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 xml:space="preserve">רשם </w:t>
                </w:r>
                <w:r w:rsidR="00A868C3">
                  <w:rPr>
                    <w:rFonts w:ascii="Arial" w:hAnsi="Arial" w:hint="cs"/>
                    <w:b/>
                    <w:bCs/>
                    <w:sz w:val="26"/>
                    <w:szCs w:val="26"/>
                    <w:rtl/>
                  </w:rPr>
                  <w:t>ה</w:t>
                </w:r>
                <w:r>
                  <w:rPr>
                    <w:rFonts w:ascii="Arial" w:hAnsi="Arial"/>
                    <w:b/>
                    <w:bCs/>
                    <w:sz w:val="26"/>
                    <w:szCs w:val="26"/>
                    <w:rtl/>
                  </w:rPr>
                  <w:t>בכיר</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אדי לכנר</w:t>
                </w:r>
              </w:sdtContent>
            </w:sdt>
          </w:p>
          <w:p w:rsidR="00007DE0" w:rsidRPr="008A59EE" w:rsidRDefault="00007DE0" w:rsidP="00007DE0">
            <w:pPr>
              <w:suppressLineNumbers/>
              <w:rPr>
                <w:sz w:val="26"/>
                <w:szCs w:val="26"/>
              </w:rPr>
            </w:pPr>
          </w:p>
        </w:tc>
      </w:tr>
      <w:tr w:rsidR="0094424E" w:rsidTr="00A868C3">
        <w:trPr>
          <w:jc w:val="center"/>
        </w:trPr>
        <w:tc>
          <w:tcPr>
            <w:tcW w:w="3249" w:type="dxa"/>
            <w:gridSpan w:val="2"/>
          </w:tcPr>
          <w:sdt>
            <w:sdtPr>
              <w:rPr>
                <w:rtl/>
              </w:rPr>
              <w:alias w:val="1180"/>
              <w:tag w:val="1180"/>
              <w:id w:val="637458750"/>
              <w:text w:multiLine="1"/>
            </w:sdtPr>
            <w:sdtEndPr/>
            <w:sdtContent>
              <w:p w:rsidR="000B7BE4" w:rsidRDefault="00A868C3" w:rsidP="00A868C3">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92632E"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פלוני</w:t>
                </w:r>
                <w:r w:rsidR="00A868C3">
                  <w:rPr>
                    <w:rFonts w:ascii="Arial" w:hAnsi="Arial" w:hint="cs"/>
                    <w:b/>
                    <w:bCs/>
                    <w:noProof w:val="0"/>
                    <w:sz w:val="26"/>
                    <w:szCs w:val="26"/>
                    <w:rtl/>
                  </w:rPr>
                  <w:t>ת</w:t>
                </w:r>
              </w:sdtContent>
            </w:sdt>
          </w:p>
        </w:tc>
      </w:tr>
      <w:tr w:rsidR="0094424E" w:rsidTr="00A868C3">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A868C3">
        <w:trPr>
          <w:jc w:val="center"/>
        </w:trPr>
        <w:tc>
          <w:tcPr>
            <w:tcW w:w="3249" w:type="dxa"/>
            <w:gridSpan w:val="2"/>
          </w:tcPr>
          <w:p w:rsidR="0094424E" w:rsidRDefault="0092632E" w:rsidP="00A868C3">
            <w:pPr>
              <w:suppressLineNumbers/>
              <w:rPr>
                <w:rFonts w:ascii="Arial" w:hAnsi="Arial"/>
                <w:b/>
                <w:bCs/>
                <w:noProof w:val="0"/>
                <w:sz w:val="26"/>
                <w:szCs w:val="26"/>
              </w:rPr>
            </w:pPr>
            <w:sdt>
              <w:sdtPr>
                <w:rPr>
                  <w:rtl/>
                </w:rPr>
                <w:alias w:val="1184"/>
                <w:tag w:val="1184"/>
                <w:id w:val="-340621022"/>
                <w:text w:multiLine="1"/>
              </w:sdtPr>
              <w:sdtEndPr/>
              <w:sdtContent>
                <w:r w:rsidR="00A868C3">
                  <w:rPr>
                    <w:rFonts w:ascii="Arial" w:hAnsi="Arial" w:hint="cs"/>
                    <w:b/>
                    <w:bCs/>
                    <w:noProof w:val="0"/>
                    <w:sz w:val="26"/>
                    <w:szCs w:val="26"/>
                    <w:rtl/>
                  </w:rPr>
                  <w:t>הנתבעים</w:t>
                </w:r>
              </w:sdtContent>
            </w:sdt>
          </w:p>
        </w:tc>
        <w:tc>
          <w:tcPr>
            <w:tcW w:w="5571" w:type="dxa"/>
          </w:tcPr>
          <w:p w:rsidR="00CF6BB7" w:rsidRDefault="00A868C3" w:rsidP="00FE09EC">
            <w:pPr>
              <w:suppressLineNumbers/>
              <w:rPr>
                <w:rFonts w:ascii="Arial" w:hAnsi="Arial"/>
                <w:b/>
                <w:bCs/>
                <w:noProof w:val="0"/>
                <w:sz w:val="26"/>
                <w:szCs w:val="26"/>
                <w:rtl/>
              </w:rPr>
            </w:pPr>
            <w:r>
              <w:rPr>
                <w:rFonts w:ascii="Arial" w:hAnsi="Arial" w:hint="cs"/>
                <w:b/>
                <w:bCs/>
                <w:noProof w:val="0"/>
                <w:sz w:val="26"/>
                <w:szCs w:val="26"/>
                <w:rtl/>
              </w:rPr>
              <w:t>1. אלמונית</w:t>
            </w:r>
          </w:p>
          <w:p w:rsidR="00A868C3" w:rsidRPr="00CD516B" w:rsidRDefault="00A868C3" w:rsidP="00A868C3">
            <w:pPr>
              <w:suppressLineNumbers/>
              <w:rPr>
                <w:rFonts w:ascii="Arial" w:hAnsi="Arial"/>
                <w:b/>
                <w:bCs/>
                <w:noProof w:val="0"/>
                <w:sz w:val="26"/>
                <w:szCs w:val="26"/>
                <w:rtl/>
              </w:rPr>
            </w:pPr>
            <w:r>
              <w:rPr>
                <w:rFonts w:ascii="Arial" w:hAnsi="Arial" w:hint="cs"/>
                <w:b/>
                <w:bCs/>
                <w:noProof w:val="0"/>
                <w:sz w:val="26"/>
                <w:szCs w:val="26"/>
                <w:rtl/>
              </w:rPr>
              <w:t>2. אלמוני</w:t>
            </w:r>
          </w:p>
        </w:tc>
      </w:tr>
      <w:tr w:rsidR="00A868C3" w:rsidTr="00A868C3">
        <w:trPr>
          <w:jc w:val="center"/>
        </w:trPr>
        <w:tc>
          <w:tcPr>
            <w:tcW w:w="8820" w:type="dxa"/>
            <w:gridSpan w:val="3"/>
          </w:tcPr>
          <w:p w:rsidR="00A868C3" w:rsidRDefault="00A868C3" w:rsidP="00FE09EC">
            <w:pPr>
              <w:suppressLineNumbers/>
              <w:rPr>
                <w:rFonts w:ascii="Arial" w:hAnsi="Arial"/>
                <w:b/>
                <w:bCs/>
                <w:noProof w:val="0"/>
                <w:sz w:val="26"/>
                <w:szCs w:val="26"/>
                <w:rtl/>
              </w:rPr>
            </w:pPr>
          </w:p>
        </w:tc>
      </w:tr>
      <w:tr w:rsidR="00A868C3" w:rsidTr="00A868C3">
        <w:trPr>
          <w:jc w:val="center"/>
        </w:trPr>
        <w:tc>
          <w:tcPr>
            <w:tcW w:w="3249" w:type="dxa"/>
            <w:gridSpan w:val="2"/>
          </w:tcPr>
          <w:p w:rsidR="00A868C3" w:rsidRPr="00A868C3" w:rsidRDefault="00A868C3" w:rsidP="00A868C3">
            <w:pPr>
              <w:suppressLineNumbers/>
              <w:rPr>
                <w:b/>
                <w:bCs/>
                <w:sz w:val="26"/>
                <w:szCs w:val="26"/>
                <w:rtl/>
              </w:rPr>
            </w:pPr>
            <w:r w:rsidRPr="00A868C3">
              <w:rPr>
                <w:rFonts w:hint="cs"/>
                <w:b/>
                <w:bCs/>
                <w:sz w:val="26"/>
                <w:szCs w:val="26"/>
                <w:rtl/>
              </w:rPr>
              <w:t>המשיבה בסוגיית האגרה</w:t>
            </w:r>
          </w:p>
        </w:tc>
        <w:tc>
          <w:tcPr>
            <w:tcW w:w="5571" w:type="dxa"/>
          </w:tcPr>
          <w:p w:rsidR="00A868C3" w:rsidRDefault="00A868C3" w:rsidP="00FE09EC">
            <w:pPr>
              <w:suppressLineNumbers/>
              <w:rPr>
                <w:rFonts w:ascii="Arial" w:hAnsi="Arial"/>
                <w:b/>
                <w:bCs/>
                <w:noProof w:val="0"/>
                <w:sz w:val="26"/>
                <w:szCs w:val="26"/>
                <w:rtl/>
              </w:rPr>
            </w:pPr>
            <w:r>
              <w:rPr>
                <w:rFonts w:ascii="Arial" w:hAnsi="Arial" w:hint="cs"/>
                <w:b/>
                <w:bCs/>
                <w:noProof w:val="0"/>
                <w:sz w:val="26"/>
                <w:szCs w:val="26"/>
                <w:rtl/>
              </w:rPr>
              <w:t>היועצת המשפטית לממשלה</w:t>
            </w:r>
          </w:p>
        </w:tc>
      </w:tr>
      <w:tr w:rsidR="00694556" w:rsidRPr="00DE1E7D" w:rsidTr="00A868C3">
        <w:trPr>
          <w:jc w:val="center"/>
        </w:trPr>
        <w:tc>
          <w:tcPr>
            <w:tcW w:w="8820" w:type="dxa"/>
            <w:gridSpan w:val="3"/>
          </w:tcPr>
          <w:p w:rsidR="00A868C3" w:rsidRDefault="00A868C3">
            <w:pPr>
              <w:bidi w:val="0"/>
              <w:jc w:val="center"/>
              <w:rPr>
                <w:rFonts w:ascii="Arial" w:hAnsi="Arial"/>
                <w:b/>
                <w:bCs/>
                <w:noProof w:val="0"/>
                <w:sz w:val="28"/>
                <w:szCs w:val="28"/>
                <w:u w:val="single"/>
              </w:rPr>
            </w:pPr>
          </w:p>
          <w:p w:rsidR="00694556" w:rsidRDefault="00180519" w:rsidP="00A868C3">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A868C3">
            <w:pPr>
              <w:bidi w:val="0"/>
              <w:rPr>
                <w:rFonts w:ascii="Arial" w:hAnsi="Arial"/>
                <w:b/>
                <w:bCs/>
                <w:noProof w:val="0"/>
                <w:sz w:val="28"/>
                <w:szCs w:val="28"/>
                <w:u w:val="single"/>
              </w:rPr>
            </w:pPr>
          </w:p>
        </w:tc>
      </w:tr>
    </w:tbl>
    <w:p w:rsidR="00A868C3" w:rsidRDefault="00A868C3" w:rsidP="00A868C3">
      <w:pPr>
        <w:spacing w:line="360" w:lineRule="auto"/>
        <w:jc w:val="both"/>
        <w:rPr>
          <w:rFonts w:ascii="David" w:hAnsi="David"/>
          <w:noProof w:val="0"/>
        </w:rPr>
      </w:pPr>
      <w:bookmarkStart w:id="1" w:name="NGCSBookmark"/>
      <w:bookmarkEnd w:id="1"/>
      <w:r>
        <w:rPr>
          <w:rFonts w:ascii="David" w:hAnsi="David"/>
          <w:rtl/>
        </w:rPr>
        <w:t xml:space="preserve">זוהי החלטה בשאלת סיווגה הנכון של תובענה זו ותשלום האגרה הנדרש והנגזר בשל כך בהתאם לתקנות בתי המשפט (אגרות), התשס"ז – 2007 (להלן: </w:t>
      </w:r>
      <w:r>
        <w:rPr>
          <w:rFonts w:ascii="David" w:hAnsi="David"/>
          <w:b/>
          <w:bCs/>
          <w:rtl/>
        </w:rPr>
        <w:t>התקנות</w:t>
      </w:r>
      <w:r>
        <w:rPr>
          <w:rFonts w:ascii="David" w:hAnsi="David"/>
          <w:rtl/>
        </w:rPr>
        <w:t>).</w:t>
      </w:r>
    </w:p>
    <w:p w:rsidR="00A868C3" w:rsidRDefault="00A868C3" w:rsidP="00A868C3">
      <w:pPr>
        <w:spacing w:line="360" w:lineRule="auto"/>
        <w:jc w:val="both"/>
        <w:rPr>
          <w:rFonts w:ascii="David" w:hAnsi="David"/>
          <w:rtl/>
        </w:rPr>
      </w:pPr>
    </w:p>
    <w:p w:rsidR="00A868C3" w:rsidRDefault="00A868C3" w:rsidP="00A868C3">
      <w:pPr>
        <w:spacing w:line="360" w:lineRule="auto"/>
        <w:jc w:val="both"/>
        <w:rPr>
          <w:rFonts w:ascii="David" w:hAnsi="David"/>
          <w:rtl/>
        </w:rPr>
      </w:pPr>
      <w:r>
        <w:rPr>
          <w:rFonts w:ascii="David" w:hAnsi="David"/>
          <w:rtl/>
        </w:rPr>
        <w:t>לאחר שעיינתי בטענות הצדדים ובטענות המדינה, הגעתי למסקנה כי הדין עם המדינה והנתבעים, וכי סיווגה הנכון של תובענה זו הוא תובענה לסכום קצוב, בהתאם לתקנה 6 לתקנות, וכי על התובעת להשלים את תשלום האגרה (מחצית ראשונה בגין תובענה על סך 1,500,000 ₪).</w:t>
      </w:r>
    </w:p>
    <w:p w:rsidR="00A868C3" w:rsidRDefault="00A868C3" w:rsidP="00A868C3">
      <w:pPr>
        <w:spacing w:line="360" w:lineRule="auto"/>
        <w:jc w:val="both"/>
        <w:rPr>
          <w:rFonts w:ascii="David" w:hAnsi="David"/>
          <w:rtl/>
        </w:rPr>
      </w:pPr>
    </w:p>
    <w:p w:rsidR="00A868C3" w:rsidRDefault="00A868C3" w:rsidP="00A868C3">
      <w:pPr>
        <w:spacing w:line="360" w:lineRule="auto"/>
        <w:jc w:val="both"/>
        <w:rPr>
          <w:rFonts w:ascii="David" w:hAnsi="David"/>
          <w:b/>
          <w:bCs/>
          <w:u w:val="single"/>
          <w:rtl/>
        </w:rPr>
      </w:pPr>
      <w:r>
        <w:rPr>
          <w:rFonts w:ascii="David" w:hAnsi="David"/>
          <w:b/>
          <w:bCs/>
          <w:u w:val="single"/>
          <w:rtl/>
        </w:rPr>
        <w:t>כתב התביעה והסעד הנתבע</w:t>
      </w: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בכתב תביעת התובעת הוגדר נושא התובענה כדלקמן: </w:t>
      </w:r>
      <w:r>
        <w:rPr>
          <w:rFonts w:ascii="Narkisim" w:hAnsi="Narkisim" w:cs="Narkisim"/>
          <w:rtl/>
        </w:rPr>
        <w:t>"תיק אזרחי בסדר דין רגיל – כספי. פיצוי נזק – שיפוי, הפרה חובה חקוקה [,] פגיעה בפרטיות, לשון הרע ועוד".</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rtl/>
        </w:rPr>
        <w:t>בהמשך, בסכום התובענה צוין:</w:t>
      </w:r>
    </w:p>
    <w:p w:rsidR="00A868C3" w:rsidRDefault="00A868C3" w:rsidP="00A868C3">
      <w:pPr>
        <w:pStyle w:val="ad"/>
        <w:spacing w:line="360" w:lineRule="auto"/>
        <w:jc w:val="both"/>
        <w:rPr>
          <w:rFonts w:ascii="David" w:hAnsi="David"/>
        </w:rPr>
      </w:pPr>
    </w:p>
    <w:p w:rsidR="00A868C3" w:rsidRDefault="00A868C3" w:rsidP="00A868C3">
      <w:pPr>
        <w:pStyle w:val="ad"/>
        <w:spacing w:line="360" w:lineRule="auto"/>
        <w:jc w:val="both"/>
        <w:rPr>
          <w:rFonts w:ascii="David" w:hAnsi="David"/>
          <w:rtl/>
        </w:rPr>
      </w:pPr>
      <w:r>
        <w:rPr>
          <w:rFonts w:ascii="Narkisim" w:hAnsi="Narkisim" w:cs="Narkisim"/>
          <w:rtl/>
        </w:rPr>
        <w:t>"הגבוה מבין 1,500,000 ₪ לבין הפיצוי המקסימאלי האפשרי מבחינה סטטוטורית ללא הוכחת נזק לבין גובה הנזק המוכח בקשר לעוולת אשר בוצע על ידי הנתבעים ו/ או אשר הם אחראים עליהן, בשל עבירות מין שנעברו כלפיה</w:t>
      </w:r>
      <w:r>
        <w:rPr>
          <w:rFonts w:ascii="David" w:hAnsi="David"/>
          <w:rtl/>
        </w:rPr>
        <w:t xml:space="preserve"> (כלפי התובעת – הח"מ) </w:t>
      </w:r>
      <w:r>
        <w:rPr>
          <w:rFonts w:ascii="Narkisim" w:hAnsi="Narkisim" w:cs="Narkisim"/>
          <w:rtl/>
        </w:rPr>
        <w:t>לפי סימן ה' בפרק י' לחוק העונשין או בתביעה כנגד מעסיק לפי חוק למניעת הטרדה מינית, התשנ"ח – 1998, שיפוי בגין חובות אשר הוטלו על התובעת והוצאות משפט שהוציאה להגן כנגד תביעה אשר הנתבעים אחראים לגביה, ובתוספת הוצאות משפט וייצוג משפטי כדין".</w:t>
      </w:r>
    </w:p>
    <w:p w:rsidR="00A868C3" w:rsidRDefault="00A868C3" w:rsidP="00A868C3">
      <w:pPr>
        <w:pStyle w:val="ad"/>
        <w:spacing w:line="360" w:lineRule="auto"/>
        <w:jc w:val="both"/>
        <w:rPr>
          <w:rFonts w:ascii="David" w:hAnsi="David"/>
          <w:rtl/>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באופן דומה תואר הסעד גם בסיכום כתב התביעה (סעיף 45), הגם שצוין שסכום זה נקבע בשל שיקולי אגרה בלבד.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rtl/>
        </w:rPr>
        <w:t xml:space="preserve">עם הגשת התובענה, שילמה התובעת אגרה בסך 510 ₪ בהתאם לתקנה 5א לתקנות בתי המשפט (אגרות), התשס"ז – 2007 (להלן: </w:t>
      </w:r>
      <w:r>
        <w:rPr>
          <w:rFonts w:ascii="David" w:hAnsi="David"/>
          <w:b/>
          <w:bCs/>
          <w:rtl/>
        </w:rPr>
        <w:t>התקנות</w:t>
      </w:r>
      <w:r>
        <w:rPr>
          <w:rFonts w:ascii="David" w:hAnsi="David"/>
          <w:rtl/>
        </w:rPr>
        <w:t xml:space="preserve">) ופרט 2א שבתוספת לתקנות.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תביעת התובעת עוסקת בטענה להטרדה מינית על ידי פלוני, שכיהן בעבר כחבר-כנסת. עיקרה בטענת התובעת, כי הנתבעים התעלמו מהתנהלותו של פלוני כלפיה, ובכך שפרסמו את דבר תלונתה שנשלחה לנתבעת 1 על מעשי פלוני (מבלי שהיא נקבה בשמו של פלוני בתלונה) לפלוני עצמו, וזאת ללא ידיעתה או אישורה.</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להשלמת התמונה אציין, כי תובענה זו הוגשה בהמשך לפסק דין שניתן בת"א (שלום בית שמש) 38981-10-18 בו נתבעה התובעת דכאן ע"י פלוני. בתיק זה נפסק, כי על התובעת דכאן לשלם לפלוני סך של 100,000 ₪, ובתוספת הוצאות פלוני דשם בסכום של 25,000 ₪ וכן הוצאות הצדדים השלישיים דשם (שההודעה כנגד נמחקה לפני מתן פסק הדין) בסכום של 5,000 ₪ כל אחד (שני צדדי ג', כאשר אחד מהם היא הנתבעת 1 בתיק דכאן) (להלן: </w:t>
      </w:r>
      <w:r>
        <w:rPr>
          <w:rFonts w:ascii="David" w:hAnsi="David"/>
          <w:b/>
          <w:bCs/>
          <w:rtl/>
        </w:rPr>
        <w:t>תיק בית שמש</w:t>
      </w:r>
      <w:r>
        <w:rPr>
          <w:rFonts w:ascii="David" w:hAnsi="David"/>
          <w:rtl/>
        </w:rPr>
        <w:t xml:space="preserve">). הפיצוי בתיק בית שמש נפסק על יסוד הקביעה, כי התובעת דכאן עוולה כלפי פלוני בהוצאת דיבה ופגיעה בפרטיותו. על פי הודעת התובעת, הוגש ערעור על פסק דין זה, והוא עודנו תלוי ועומד. </w:t>
      </w:r>
    </w:p>
    <w:p w:rsidR="00A868C3" w:rsidRDefault="00A868C3" w:rsidP="00A868C3">
      <w:pPr>
        <w:pStyle w:val="ad"/>
        <w:spacing w:line="360" w:lineRule="auto"/>
        <w:jc w:val="both"/>
        <w:rPr>
          <w:rFonts w:ascii="David" w:hAnsi="David"/>
        </w:rPr>
      </w:pPr>
    </w:p>
    <w:p w:rsidR="00A868C3" w:rsidRDefault="00A868C3" w:rsidP="00A868C3">
      <w:pPr>
        <w:spacing w:line="360" w:lineRule="auto"/>
        <w:jc w:val="both"/>
        <w:rPr>
          <w:rFonts w:ascii="David" w:hAnsi="David"/>
          <w:b/>
          <w:bCs/>
          <w:rtl/>
        </w:rPr>
      </w:pPr>
      <w:r>
        <w:rPr>
          <w:rFonts w:ascii="David" w:hAnsi="David"/>
          <w:b/>
          <w:bCs/>
          <w:rtl/>
        </w:rPr>
        <w:t>מהלך הדיון וטענות הצדדים</w:t>
      </w:r>
    </w:p>
    <w:p w:rsidR="00A868C3" w:rsidRDefault="00A868C3" w:rsidP="00A868C3">
      <w:pPr>
        <w:pStyle w:val="ad"/>
        <w:numPr>
          <w:ilvl w:val="0"/>
          <w:numId w:val="1"/>
        </w:numPr>
        <w:spacing w:after="160" w:line="360" w:lineRule="auto"/>
        <w:jc w:val="both"/>
        <w:rPr>
          <w:rFonts w:ascii="David" w:hAnsi="David"/>
          <w:rtl/>
        </w:rPr>
      </w:pPr>
      <w:r>
        <w:rPr>
          <w:rFonts w:ascii="David" w:hAnsi="David"/>
          <w:rtl/>
        </w:rPr>
        <w:t>בהחלטתי מיום 28.12.2022 התבקשה התובעת להסביר, מדוע לטעמה הסיווג הנכון של תובענה זו היא בהתאם לתקנה 5א לתקנות, ולא לפי תקנה 6 לתקנות. האמור התייחס הן לכל התובענה או לחלקים ממנה, כגון רכיב השיפוי בגין תיק בית שמש.</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b/>
          <w:bCs/>
          <w:rtl/>
        </w:rPr>
        <w:t>בתשובת התובעת</w:t>
      </w:r>
      <w:r>
        <w:rPr>
          <w:rFonts w:ascii="David" w:hAnsi="David"/>
          <w:rtl/>
        </w:rPr>
        <w:t>, נוכח החלטתי המוזכרת לעיל, טענה התובעת, כי סיווגה הנכון של התובענה, והאגרה הנגזרת מכך, היא לפי תקנה 5א לתקנות, שכן מדובר בתובענה בקשר לעברות מיניות שבוצעו כלפיה על ידי עובד ונציג הנתבעים, ואשר לגביהם הנתבעים אחראים וחייבים לפצות את התובעת. התובעת הדגישה, כי לא מדובר בחישוב בהתאם לתקנה 6 לתקנות (תובענה לסכום קצוב) ולא בתובענה לנזקי גוף (תקנה 5 לתקנות). תקנה 5א מחריגה, כך נטען, תובענות המפורטות בה, ותובענה זו כלולה בחלופות שבתקנה זו.</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לטענת התובעת היא בחרה להגיש את תביעתה לבית משפט השלום שכן מעריכה את נזקיה בסך 1,500,000 ₪ (אומדן ראשוני"), ובכל מקרה אינה מעריכה שהם עולים על סמכותו העניינית של בית משפט זה (2,500,000 ₪).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עילות התובענה המפורטות בכתב התביעה, הוסיפה התובעת, כוללות חובת השיפוי בגין ההליכים שהתנהלות בתיק בית שמש, נכללים גם בתקנה 5א לתקנות. כולן קשורות להפרות הנתבעים את דברי החקיקה הקשורים לעבירת מין לפי חוק העונשין, תשל"ז – 1977 (להלן: </w:t>
      </w:r>
      <w:r>
        <w:rPr>
          <w:rFonts w:ascii="David" w:hAnsi="David"/>
          <w:b/>
          <w:bCs/>
          <w:rtl/>
        </w:rPr>
        <w:t>חוק העונשין</w:t>
      </w:r>
      <w:r>
        <w:rPr>
          <w:rFonts w:ascii="David" w:hAnsi="David"/>
          <w:rtl/>
        </w:rPr>
        <w:t xml:space="preserve">), חוק הגנת הפרטיות, תשמ"א - 1981 (להלן: </w:t>
      </w:r>
      <w:r>
        <w:rPr>
          <w:rFonts w:ascii="David" w:hAnsi="David"/>
          <w:b/>
          <w:bCs/>
          <w:rtl/>
        </w:rPr>
        <w:t xml:space="preserve">חוק הגנת </w:t>
      </w:r>
      <w:r>
        <w:rPr>
          <w:rFonts w:ascii="David" w:hAnsi="David"/>
          <w:b/>
          <w:bCs/>
          <w:rtl/>
        </w:rPr>
        <w:lastRenderedPageBreak/>
        <w:t>הפרטיות</w:t>
      </w:r>
      <w:r>
        <w:rPr>
          <w:rFonts w:ascii="David" w:hAnsi="David"/>
          <w:rtl/>
        </w:rPr>
        <w:t xml:space="preserve">) וחוק למניעת הטרדה מינית, תשנ"ח – 1998 (להלן: </w:t>
      </w:r>
      <w:r>
        <w:rPr>
          <w:rFonts w:ascii="David" w:hAnsi="David"/>
          <w:b/>
          <w:bCs/>
          <w:rtl/>
        </w:rPr>
        <w:t>חוק למניעת הטרדה מינית</w:t>
      </w:r>
      <w:r>
        <w:rPr>
          <w:rFonts w:ascii="David" w:hAnsi="David"/>
          <w:rtl/>
        </w:rPr>
        <w:t>), פירטה.</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התובעת הוסיפה, כי עצם העובדה שהתובענה בתיק בית שמש התנהלה בשל עילות וסעדים אחרים (לשון הרע ופגיעה בפרטיות פלוני), אינה אמורה להשפיע על סיווגה של תובענה זו. סיווגה של התובענה דכאן, פורט, הוא בהתאם למקור חובות השיפוי והפיצוי, ואלה הוגדרו על ידי התובעת בגין עבירות מין, הפרות חובה חקוקה בקשר לעבירות מין והטרדה מינית.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התובעת ציינה גם, כי גם ברגע זה לא יודעת לשום בצורה מדויקת את סכום השיפוי לו היא זכאית, בין היתר בשל העובדה כי על פסק הדין בתיק בית שמש הוגש ערעור, וזה תלוי ועומד. בנוסף, צוין, עומדת תובענה כנגד פלוני בתיק בית שמש. מכאן, לטענת התובעת, שאי אפשר לדעת את סכום השיפוי הסופי והסכום שננקב בתובענה זו היה </w:t>
      </w:r>
      <w:r>
        <w:rPr>
          <w:rFonts w:ascii="Narkisim" w:hAnsi="Narkisim" w:cs="Narkisim"/>
          <w:rtl/>
        </w:rPr>
        <w:t>"על בסיס אומדן גס בלבד",</w:t>
      </w:r>
      <w:r>
        <w:rPr>
          <w:rFonts w:ascii="David" w:hAnsi="David"/>
          <w:rtl/>
        </w:rPr>
        <w:t xml:space="preserve"> וכי ממילא אין עליה חובה לשום בצורה מדויקת את סכום התובענה בשלב זה. זאת, בין היתר, בשל שכך נהוג בתביעות נזיקין, ובכלל זה תביעות שיפוי מצדדים שלישיים.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בכל מקרה, עתרה התובעת לקבלת התייחסות המדינה בטרם מתן החלטה. בהתאם להחלטתי מיום 30.1.2023, התבקשה עמדת היועצת המשפטית לממשלה.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b/>
          <w:bCs/>
          <w:rtl/>
        </w:rPr>
        <w:t>בתשובת המדינה</w:t>
      </w:r>
      <w:r>
        <w:rPr>
          <w:rFonts w:ascii="David" w:hAnsi="David"/>
          <w:rtl/>
        </w:rPr>
        <w:t xml:space="preserve">, נטען, כי במקרה דנן מדובר בתובענה שיש לסווגה בהתאם לתקנה 6 לתקנות, ולא בהתאם לתקנה 5א לתקנות.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לטענת המדינה, במקרה דנן, לא מדובר בתובענה לפי חוק למניעת הטרדה מינית. המדינה מפרטת, כי לטענת התובעת מדובר בתביעה כלפי מעסיק לפי סעיף 7 לחוק הטרדה מינית. לטענת המדינה, בחינת המעשים המיוחסים לנתבעים אינם עולים כדי הטרדה מינית בהתאם לסעיף 7(א) לחוק למניעת הטרדה מינית, שכן בהתאם להוראות החוק והפסיקה שפירשו הוראת חוק זו, מדובר בחובה של </w:t>
      </w:r>
      <w:r>
        <w:rPr>
          <w:rFonts w:ascii="David" w:hAnsi="David"/>
          <w:b/>
          <w:bCs/>
          <w:rtl/>
        </w:rPr>
        <w:t>מעסיק</w:t>
      </w:r>
      <w:r>
        <w:rPr>
          <w:rFonts w:ascii="David" w:hAnsi="David"/>
          <w:rtl/>
        </w:rPr>
        <w:t xml:space="preserve"> למנוע הטרדה מינית כלפי </w:t>
      </w:r>
      <w:r>
        <w:rPr>
          <w:rFonts w:ascii="David" w:hAnsi="David"/>
          <w:b/>
          <w:bCs/>
          <w:rtl/>
        </w:rPr>
        <w:t>עובדיו</w:t>
      </w:r>
      <w:r>
        <w:rPr>
          <w:rFonts w:ascii="David" w:hAnsi="David"/>
          <w:rtl/>
        </w:rPr>
        <w:t xml:space="preserve">.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לטענת המדינה, אף אם המעשים המיוחסים לפלוני הם בגדר הטרדה מינית כלפי התובעת, התובעת עצמה לא טוענת שהועסקה על ידי הנתבעים. זאת ועוד, נטען, המעשים המפורטים בכתב התביעה, לא בוצעו במקום עבודה או במקום אחר שבו מתנהלת פעילות מטעם המעסיק תוך כדי עבודה.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מטעם זה, טענה המדינה, מתייתר גם הצורך לדון בשאלה האם לעניין חוק למניעת הטרדה מינית, נחשבים הנתבעים למעסיקיו של פלוני או שהוא ממונה מטעמם.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lastRenderedPageBreak/>
        <w:t xml:space="preserve">המדינה הוסיפה, כי לא מדובר באף אחת מהחלופות הקבועות בתקנה 5א, שכן לא מדובר בתביעה נגררת להרשעה בפלילים, וגם לא כנגד מי שנטען שביצע את עבירות המין. החלופה השלישית, כאמור, אף היא אינה מתקיימת, שכן סעיף 7 לחוק למניעת הטרדה מינית לא מתקיים. מכאן גם סברת המדינה, כי תובענה זו אינה עולה כדי תובענה לפי חוק למניעת הטרדה מינית והתובעת אינה זכאית לאגרה מופחת בהתאם לתקנה 5א לתקנות.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אשר לסעדים שאינם לפי חוק למניעת הטרדה מינית, טענה המדינה כי מדובר באי-בהירות. המדינה ציינה, שהתובעת לא הגבילה עצמה לסכום תביעה, והגשתה לבית משפט זה, מאפשרת פסיקת פיצוי בגבול סמכותו העניינית (2,500,000 ₪). לכן האגרה הנגזרת מסכום תביעה זו היא 62,500 ₪ (או 31,250 ₪ כל מחצית).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המדינה הציעה לבחון מחדש את החלטת בית משפט השלום בתל אביב יפו (כבוד הרשמת הבכירה נעמה פרס) </w:t>
      </w:r>
      <w:r>
        <w:rPr>
          <w:rFonts w:ascii="David" w:hAnsi="David"/>
          <w:b/>
          <w:bCs/>
          <w:rtl/>
        </w:rPr>
        <w:t>בפרשת פלונית אלמונית</w:t>
      </w:r>
      <w:r>
        <w:rPr>
          <w:rFonts w:ascii="David" w:hAnsi="David"/>
          <w:rtl/>
        </w:rPr>
        <w:t xml:space="preserve"> (ת"א (שלום ת"א) 31597-11-15 </w:t>
      </w:r>
      <w:r>
        <w:rPr>
          <w:rFonts w:ascii="David" w:hAnsi="David"/>
          <w:b/>
          <w:bCs/>
          <w:rtl/>
        </w:rPr>
        <w:t xml:space="preserve">מדינת ישראל נ' פלונית אלמונית </w:t>
      </w:r>
      <w:r>
        <w:rPr>
          <w:rFonts w:ascii="David" w:hAnsi="David"/>
          <w:rtl/>
        </w:rPr>
        <w:t>(18.1.2017). לדעת המדינה, אין מניעה להגיש תביעה לפי תקנה 5א לתקנות גם נגד פוגעים אחרים שאינם התוקפים הישירים, אם כי יש לבחון כל תיק לגופו.</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הנתבעים אף הם התבקשו להתייחס לסוגיה, ובפרט לתשובת המדינה. </w:t>
      </w:r>
      <w:r>
        <w:rPr>
          <w:rFonts w:ascii="David" w:hAnsi="David"/>
          <w:b/>
          <w:bCs/>
          <w:rtl/>
        </w:rPr>
        <w:t>בעמדת הנתבעים</w:t>
      </w:r>
      <w:r>
        <w:rPr>
          <w:rFonts w:ascii="David" w:hAnsi="David"/>
          <w:rtl/>
        </w:rPr>
        <w:t xml:space="preserve"> צוין, כי אחת מעילות בקשתם לסילוק על הסף (בקשה מספר 4) היא סוגיית אגרה.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לגופם של דברים, גם לטענת הנתבעים, לא מדובר בתביעה לפי חוק למניעת הטרדה מינית. עם זאת, לצד נימוקי המדינה, פירטו הנתבעים, כי הטענה המיוחסת להם בהקשר זה היא כי הם "הדליפו" את פניית התובעת לנתבעת 1, והדלפה זו גרמה לה לנזק (סעיפים 38 ו-39 לכתב התביעה). נוכח כך, הוסיפו, טענת התובעת כי מדובר "בהדלפה" בניגוד לחוק העונשין וחוק הגנת הפרטיות. טענת הנתבעים היא, כי לא מדובר בתביעת הטרדה מינית או עבירות מין בכלל.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הנתבעים הדגישו, כי תביעה לפי חוק למניעת הטרדה מינית בהקשר זה, מוגשת כנגד מעסיק, אלא שלטענת הנתבעים הם מעולם לא העסיקו את פלוני. פלוני כיהן, כך צוין, כחבר-כנסת והוא לא היה עובד שלה. כך, לא בזמן כהונתו, כאמור, ולא לאחר תום כהונתו. די כך, לטענת הנתבעים, כדי לדחות את פרשנות התובעת לפיה היא זכאית לתשלום אגרה לפי תקנה 5א לתקנות.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lastRenderedPageBreak/>
        <w:t xml:space="preserve">על כן, סיכמו הנתבעים, על התובעת לשלם את האגרה המלאה הנדרשת בתובענה זו, שכן אחרת יש להורות על סילוק תביעתה על הסף. מטעם זה, עתרו גם הנתבעים, להארכת מועד להגשת הגנתם עד לתשלום האגרה במלואה.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לתובעת לא ניתנה האפשרות להגיב לתשובת המדינה או עמדת הנתבעים, וחרף זאת היא בחרה להגיש תגובה. בתגובת התובעת צוין, כי תשובת המדינה מבוססת על טענות שגויות, תוך הנחת עובדות שצריכות להתברר במהלך ההליך. ככל שיהיה צורך, הוסיפה התובעת, יהיה נכון לסווג את התובענה בסופה, כפי שהתקנות מאפשרות במספר מקרים (כגון תשלום אגרה בגין נזקי גוף, צוין).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התובעת חזרה על טיעוניה שפורטו מעלה, והוסיפה, כי יש לפרש את תקנה 5א כפי שמתייחסים לתביעה בשל נזקי גוף, וככל שיש ספקות יש לפעול לפי </w:t>
      </w:r>
      <w:r>
        <w:rPr>
          <w:rFonts w:ascii="Narkisim" w:hAnsi="Narkisim" w:cs="Narkisim"/>
          <w:rtl/>
        </w:rPr>
        <w:t xml:space="preserve">"מנגנוני ההתאמה בתקנה 5 ולא להעביר את סיווג התובענה" </w:t>
      </w:r>
      <w:r>
        <w:rPr>
          <w:rFonts w:ascii="David" w:hAnsi="David"/>
          <w:rtl/>
        </w:rPr>
        <w:t xml:space="preserve">לסכום קצוב.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התובעת הוסיפה, כי אין מקום לקבוע מראש, כי פלוני לא היה מועסק של הנתבעים, עתה ומראש ומבלי שנשמעו ראיות, ואין מקום לקבוע מראש, כי סעיף 7(א) לחוק למניעת הטרדה מינית אינו מקים עילה של התובעת כלפי הנתבעים בסיטואציה המתוארת. כל זאת, נטען, כאשר פלוני היה עובד ציבור בהתאם להגדרות שבסעיף 34כד לחוק העונשין.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התובעת הדגישה, כי תביעתה כוללת טענה כי בפרסום שמה, על ידי הנתבעים, נוגדת את הוראות סעיף 352 לחוק העונשין, ועל כן מתאימה לדיון בהתאם לתקנה 5א לתקנות (החלופה השנייה והחלופה השלישית), וגם התובעת סבורה – כדעת המדינה – כי יש לשוב ולבחון את קביעת בית המשפט </w:t>
      </w:r>
      <w:r>
        <w:rPr>
          <w:rFonts w:ascii="David" w:hAnsi="David"/>
          <w:b/>
          <w:bCs/>
          <w:rtl/>
        </w:rPr>
        <w:t>בפרשת פלונית אלמונית</w:t>
      </w:r>
      <w:r>
        <w:rPr>
          <w:rFonts w:ascii="David" w:hAnsi="David"/>
          <w:rtl/>
        </w:rPr>
        <w:t xml:space="preserve">.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בכל מקרה, סבורה התובעת, כי בין אם נצמדים לקביעת בית המשפט </w:t>
      </w:r>
      <w:r>
        <w:rPr>
          <w:rFonts w:ascii="David" w:hAnsi="David"/>
          <w:b/>
          <w:bCs/>
          <w:rtl/>
        </w:rPr>
        <w:t xml:space="preserve">בפרשת פלונית אלמונית, </w:t>
      </w:r>
      <w:r>
        <w:rPr>
          <w:rFonts w:ascii="David" w:hAnsi="David"/>
          <w:rtl/>
        </w:rPr>
        <w:t xml:space="preserve">ובין אם לאו, התובעת זכאית להגיש תביעתה בהתאם לתקנה 5א לתקנות כנגד הנתבעים דכאן בהתאם לחלופה השנייה (עבירות מין לפי חוק העונשין), או החלופה השלישית (הפרות חוק למניעת הטרדה מינית שבוצעו על ידי מעסיקים, ממונים או אחרים של הפוגע). כך או אחרת, הוסיפה התובעת, אין להורות על השלמת אגרה בשלב זה, וכי על בית המשפט זה להורות על דחיית תשלומה על מנת לאפשר לתובעת כניסה לבית המשפט ולא לחסום את שעריו בפניה.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לבסוף, התנגדה התובעת להארכת מועד להגשת כתב הגנה עד לתום הדיון בשאלת האגרה.</w:t>
      </w:r>
    </w:p>
    <w:p w:rsidR="00A868C3" w:rsidRDefault="00A868C3" w:rsidP="00A868C3">
      <w:pPr>
        <w:spacing w:line="360" w:lineRule="auto"/>
        <w:jc w:val="both"/>
        <w:rPr>
          <w:rFonts w:ascii="David" w:hAnsi="David"/>
        </w:rPr>
      </w:pPr>
    </w:p>
    <w:p w:rsidR="00A868C3" w:rsidRDefault="00A868C3" w:rsidP="00A868C3">
      <w:pPr>
        <w:spacing w:line="360" w:lineRule="auto"/>
        <w:jc w:val="both"/>
        <w:rPr>
          <w:rFonts w:ascii="David" w:hAnsi="David"/>
          <w:rtl/>
        </w:rPr>
      </w:pPr>
    </w:p>
    <w:p w:rsidR="00A868C3" w:rsidRDefault="00A868C3" w:rsidP="00A868C3">
      <w:pPr>
        <w:spacing w:line="360" w:lineRule="auto"/>
        <w:jc w:val="both"/>
        <w:rPr>
          <w:rFonts w:ascii="David" w:hAnsi="David"/>
          <w:b/>
          <w:bCs/>
          <w:u w:val="single"/>
          <w:rtl/>
        </w:rPr>
      </w:pPr>
      <w:r>
        <w:rPr>
          <w:rFonts w:ascii="David" w:hAnsi="David"/>
          <w:b/>
          <w:bCs/>
          <w:u w:val="single"/>
          <w:rtl/>
        </w:rPr>
        <w:lastRenderedPageBreak/>
        <w:t>דיון והכרעה</w:t>
      </w: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תקנה 5א לתקנות קובעת כך: </w:t>
      </w:r>
    </w:p>
    <w:p w:rsidR="00A868C3" w:rsidRDefault="00A868C3" w:rsidP="00A868C3">
      <w:pPr>
        <w:pStyle w:val="ad"/>
        <w:spacing w:line="360" w:lineRule="auto"/>
        <w:jc w:val="both"/>
        <w:rPr>
          <w:rFonts w:ascii="David" w:hAnsi="David"/>
        </w:rPr>
      </w:pPr>
    </w:p>
    <w:p w:rsidR="00A868C3" w:rsidRDefault="00A868C3" w:rsidP="00A868C3">
      <w:pPr>
        <w:pStyle w:val="ad"/>
        <w:spacing w:line="360" w:lineRule="auto"/>
        <w:jc w:val="both"/>
        <w:rPr>
          <w:rFonts w:ascii="David" w:hAnsi="David"/>
          <w:rtl/>
        </w:rPr>
      </w:pPr>
      <w:r>
        <w:rPr>
          <w:rFonts w:ascii="FrankRuehl" w:hAnsi="FrankRuehl" w:cs="FrankRuehl"/>
          <w:rtl/>
        </w:rPr>
        <w:t>"בתביעה הנגררת להרשעה בפלילים בעבירות מין לפי סימן ה' בפרק י' לחוק העונשין או בתביעה שהגיש הנפגע נגד מי שביצע מעשה המהווה עבירת מין בשל עבירות מין שנעברו כלפיו לפי סימן ה' האמור או בתביעה לפי חוק למניעת הטרדה מינית, התשנ"ח-1998, תשולם אגרה לפי פרט 2א או 9א שבתוספת, לפי העניין."</w:t>
      </w:r>
    </w:p>
    <w:p w:rsidR="00A868C3" w:rsidRDefault="00A868C3" w:rsidP="00A868C3">
      <w:pPr>
        <w:pStyle w:val="ad"/>
        <w:spacing w:line="360" w:lineRule="auto"/>
        <w:jc w:val="both"/>
        <w:rPr>
          <w:rFonts w:ascii="David" w:hAnsi="David"/>
          <w:rtl/>
        </w:rPr>
      </w:pPr>
    </w:p>
    <w:p w:rsidR="00A868C3" w:rsidRDefault="00A868C3" w:rsidP="00A868C3">
      <w:pPr>
        <w:spacing w:line="360" w:lineRule="auto"/>
        <w:ind w:left="720"/>
        <w:jc w:val="both"/>
        <w:rPr>
          <w:rFonts w:ascii="David" w:hAnsi="David"/>
          <w:rtl/>
        </w:rPr>
      </w:pPr>
      <w:r>
        <w:rPr>
          <w:rFonts w:ascii="David" w:hAnsi="David"/>
          <w:rtl/>
        </w:rPr>
        <w:t xml:space="preserve">כפי שנקבע </w:t>
      </w:r>
      <w:r>
        <w:rPr>
          <w:rFonts w:ascii="David" w:hAnsi="David"/>
          <w:b/>
          <w:bCs/>
          <w:rtl/>
        </w:rPr>
        <w:t>בפרשת פלונית אלמונית</w:t>
      </w:r>
      <w:r>
        <w:rPr>
          <w:rFonts w:ascii="David" w:hAnsi="David"/>
          <w:rtl/>
        </w:rPr>
        <w:t>, כוללת תקנה זו שלוש חלופות, שבהתקיימותן רשאי התובע להגיש תביעה וליהנות מסכום אגרה מופחת בהתאם לפרט 2א לתקנות (בבית משפט השלום):</w:t>
      </w:r>
    </w:p>
    <w:p w:rsidR="00A868C3" w:rsidRDefault="00A868C3" w:rsidP="00A868C3">
      <w:pPr>
        <w:pStyle w:val="ad"/>
        <w:numPr>
          <w:ilvl w:val="0"/>
          <w:numId w:val="2"/>
        </w:numPr>
        <w:spacing w:after="160" w:line="360" w:lineRule="auto"/>
        <w:jc w:val="both"/>
        <w:rPr>
          <w:rFonts w:ascii="David" w:hAnsi="David"/>
          <w:rtl/>
        </w:rPr>
      </w:pPr>
      <w:r>
        <w:rPr>
          <w:rFonts w:ascii="David" w:hAnsi="David"/>
          <w:rtl/>
        </w:rPr>
        <w:t xml:space="preserve">החלופה הראשונה: </w:t>
      </w:r>
      <w:r>
        <w:rPr>
          <w:rFonts w:ascii="FrankRuehl" w:hAnsi="FrankRuehl" w:cs="FrankRuehl"/>
          <w:rtl/>
        </w:rPr>
        <w:t>"בתביעה הנגררת להרשעה בפלילים בעבירות מין לפי סימן ה' בפרק י' לחוק העונשין"</w:t>
      </w:r>
      <w:r>
        <w:rPr>
          <w:rFonts w:ascii="David" w:hAnsi="David"/>
          <w:rtl/>
        </w:rPr>
        <w:t xml:space="preserve"> (להלן: </w:t>
      </w:r>
      <w:r>
        <w:rPr>
          <w:rFonts w:ascii="David" w:hAnsi="David"/>
          <w:b/>
          <w:bCs/>
          <w:rtl/>
        </w:rPr>
        <w:t>החלופה הראשונה</w:t>
      </w:r>
      <w:r>
        <w:rPr>
          <w:rFonts w:ascii="David" w:hAnsi="David"/>
          <w:rtl/>
        </w:rPr>
        <w:t>);</w:t>
      </w:r>
    </w:p>
    <w:p w:rsidR="00A868C3" w:rsidRDefault="00A868C3" w:rsidP="00A868C3">
      <w:pPr>
        <w:pStyle w:val="ad"/>
        <w:numPr>
          <w:ilvl w:val="0"/>
          <w:numId w:val="2"/>
        </w:numPr>
        <w:spacing w:after="160" w:line="360" w:lineRule="auto"/>
        <w:jc w:val="both"/>
        <w:rPr>
          <w:rFonts w:ascii="David" w:hAnsi="David"/>
        </w:rPr>
      </w:pPr>
      <w:r>
        <w:rPr>
          <w:rFonts w:ascii="David" w:hAnsi="David"/>
          <w:rtl/>
        </w:rPr>
        <w:t>החלופה השנייה: "</w:t>
      </w:r>
      <w:r>
        <w:rPr>
          <w:rFonts w:ascii="FrankRuehl" w:hAnsi="FrankRuehl" w:cs="FrankRuehl"/>
          <w:rtl/>
        </w:rPr>
        <w:t xml:space="preserve">בתביעה שהגיש הנפגע נגד מי שביצע מעשה המהווה עבירת מין בשל עבירות מין שנעברו כלפיו לפי סימן ה' האמור" </w:t>
      </w:r>
      <w:r>
        <w:rPr>
          <w:rFonts w:ascii="David" w:hAnsi="David"/>
          <w:rtl/>
        </w:rPr>
        <w:t xml:space="preserve">(- חוק העונשין – הח"מ) (להלן: </w:t>
      </w:r>
      <w:r>
        <w:rPr>
          <w:rFonts w:ascii="David" w:hAnsi="David"/>
          <w:b/>
          <w:bCs/>
          <w:rtl/>
        </w:rPr>
        <w:t>החלופה הראשונה</w:t>
      </w:r>
      <w:r>
        <w:rPr>
          <w:rFonts w:ascii="David" w:hAnsi="David"/>
          <w:rtl/>
        </w:rPr>
        <w:t>);</w:t>
      </w:r>
    </w:p>
    <w:p w:rsidR="00A868C3" w:rsidRDefault="00A868C3" w:rsidP="00A868C3">
      <w:pPr>
        <w:pStyle w:val="ad"/>
        <w:numPr>
          <w:ilvl w:val="0"/>
          <w:numId w:val="2"/>
        </w:numPr>
        <w:spacing w:after="160" w:line="360" w:lineRule="auto"/>
        <w:jc w:val="both"/>
        <w:rPr>
          <w:rFonts w:ascii="David" w:hAnsi="David"/>
        </w:rPr>
      </w:pPr>
      <w:r>
        <w:rPr>
          <w:rFonts w:ascii="David" w:hAnsi="David"/>
          <w:rtl/>
        </w:rPr>
        <w:t>החלופה השלישית:</w:t>
      </w:r>
      <w:r>
        <w:rPr>
          <w:rFonts w:ascii="FrankRuehl" w:hAnsi="FrankRuehl" w:cs="FrankRuehl"/>
          <w:rtl/>
        </w:rPr>
        <w:t xml:space="preserve"> </w:t>
      </w:r>
      <w:r>
        <w:rPr>
          <w:rFonts w:ascii="David" w:hAnsi="David"/>
          <w:rtl/>
        </w:rPr>
        <w:t>"</w:t>
      </w:r>
      <w:r>
        <w:rPr>
          <w:rFonts w:ascii="FrankRuehl" w:hAnsi="FrankRuehl" w:cs="FrankRuehl"/>
          <w:rtl/>
        </w:rPr>
        <w:t xml:space="preserve">בתביעה לפי חוק למניעת הטרדה מינית, התשנ"ח-1998" </w:t>
      </w:r>
      <w:r>
        <w:rPr>
          <w:rFonts w:ascii="David" w:hAnsi="David"/>
          <w:rtl/>
        </w:rPr>
        <w:t xml:space="preserve">(להלן: </w:t>
      </w:r>
      <w:r>
        <w:rPr>
          <w:rFonts w:ascii="David" w:hAnsi="David"/>
          <w:b/>
          <w:bCs/>
          <w:rtl/>
        </w:rPr>
        <w:t>החלופה שלישית</w:t>
      </w:r>
      <w:r>
        <w:rPr>
          <w:rFonts w:ascii="David" w:hAnsi="David"/>
          <w:rtl/>
        </w:rPr>
        <w:t>).</w:t>
      </w:r>
    </w:p>
    <w:p w:rsidR="00A868C3" w:rsidRDefault="00A868C3" w:rsidP="00A868C3">
      <w:pPr>
        <w:spacing w:line="360" w:lineRule="auto"/>
        <w:ind w:left="720"/>
        <w:jc w:val="both"/>
        <w:rPr>
          <w:rFonts w:ascii="David" w:hAnsi="David"/>
          <w:rtl/>
        </w:rPr>
      </w:pPr>
    </w:p>
    <w:p w:rsidR="00A868C3" w:rsidRDefault="00A868C3" w:rsidP="00A868C3">
      <w:pPr>
        <w:pStyle w:val="ad"/>
        <w:numPr>
          <w:ilvl w:val="0"/>
          <w:numId w:val="1"/>
        </w:numPr>
        <w:spacing w:after="160" w:line="360" w:lineRule="auto"/>
        <w:jc w:val="both"/>
        <w:rPr>
          <w:rFonts w:ascii="David" w:hAnsi="David"/>
          <w:rtl/>
        </w:rPr>
      </w:pPr>
      <w:r>
        <w:rPr>
          <w:rFonts w:ascii="David" w:hAnsi="David"/>
          <w:b/>
          <w:bCs/>
          <w:rtl/>
        </w:rPr>
        <w:t>בפרשת פלונית אלמונית</w:t>
      </w:r>
      <w:r>
        <w:rPr>
          <w:rFonts w:ascii="David" w:hAnsi="David"/>
          <w:rtl/>
        </w:rPr>
        <w:t xml:space="preserve"> נקבע עוד, ביחס לחלופות, כי:</w:t>
      </w:r>
    </w:p>
    <w:p w:rsidR="00A868C3" w:rsidRDefault="00A868C3" w:rsidP="00A868C3">
      <w:pPr>
        <w:pStyle w:val="ad"/>
        <w:spacing w:line="360" w:lineRule="auto"/>
        <w:jc w:val="both"/>
        <w:rPr>
          <w:rFonts w:ascii="David" w:hAnsi="David"/>
        </w:rPr>
      </w:pPr>
    </w:p>
    <w:p w:rsidR="00A868C3" w:rsidRDefault="00A868C3" w:rsidP="00A868C3">
      <w:pPr>
        <w:pStyle w:val="ad"/>
        <w:spacing w:line="360" w:lineRule="auto"/>
        <w:jc w:val="both"/>
        <w:rPr>
          <w:rFonts w:ascii="FrankRuehl" w:hAnsi="FrankRuehl" w:cs="FrankRuehl"/>
          <w:rtl/>
        </w:rPr>
      </w:pPr>
      <w:r>
        <w:rPr>
          <w:rFonts w:ascii="FrankRuehl" w:hAnsi="FrankRuehl" w:cs="FrankRuehl"/>
          <w:rtl/>
        </w:rPr>
        <w:t xml:space="preserve">"האפשרות הראשונה נוגעת לתובענות שבסיסן עברות מין לפי חוק העונשין, התשל"ז – 1977. בכך גם עוסקת החלופה השנייה של התקנה. שתי האפשרויות הראשונות נוגעות להגשת תובענה כנגד מי שביצע את האקט המיני האלים כלפי הנפגע, הוא התובע. האפשרות השלישית אינה עוסקת לא בחוק העונשין הנ"ל, ולא בהגשת תובענה כנגד הפוגע דווקא. סעיף 77 לחוק בתי המשפט [נוסח משולב], התשמ"ד – 1984, מאפשר הגשת תובענה נגררת כנגד הפוגע בלבד, ומעניק סמכות נגררת בתובענה אזרחית לזו הפלילית – כאשר התובענה מוגשת כנגד האדם המורשע בלבד. משכך, הן החלופה הראשונה (מתוקף הוראה זו של חוק בתי המשפט, וכן בהתאם לסעיף 42ד לפקודת הראיות [נוסח חדש], התשל"א – 1971) והן החלופה השנייה – עוסקות בתביעה כנגד הפוגע עצמו. אין הוראה כזו לעניין האפשרות השלישית, היא הרלוונטית לענייניו, ואין – לאור מטרות ותכליות החקיקה שבתקנה 5א לתקנות האגרות – לקרוא לתוך החלופה תנאי זה" </w:t>
      </w:r>
      <w:r>
        <w:rPr>
          <w:rFonts w:ascii="David" w:hAnsi="David"/>
          <w:rtl/>
        </w:rPr>
        <w:t xml:space="preserve">(עמוד 6 להחלטת בית המשפט </w:t>
      </w:r>
      <w:r>
        <w:rPr>
          <w:rFonts w:ascii="David" w:hAnsi="David"/>
          <w:b/>
          <w:bCs/>
          <w:rtl/>
        </w:rPr>
        <w:t>בפרשת פלונית אלמונית</w:t>
      </w:r>
      <w:r>
        <w:rPr>
          <w:rFonts w:ascii="David" w:hAnsi="David"/>
          <w:rtl/>
        </w:rPr>
        <w:t>).</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rtl/>
        </w:rPr>
        <w:t xml:space="preserve">לטענת המדינה, כמו גם התובעת, אין מקום לאמץ פרשנות זו, ולא מן הנמנע כי תקנה 5א תכלול בתוכה תביעה כנגד פוגעים ומעולים שאינם התוקפים עצמם. לא ראיתי כל מקום </w:t>
      </w:r>
      <w:r>
        <w:rPr>
          <w:rFonts w:ascii="David" w:hAnsi="David"/>
          <w:rtl/>
        </w:rPr>
        <w:lastRenderedPageBreak/>
        <w:t xml:space="preserve">לסטות מפרשנות שנינתה </w:t>
      </w:r>
      <w:r>
        <w:rPr>
          <w:rFonts w:ascii="David" w:hAnsi="David"/>
          <w:b/>
          <w:bCs/>
          <w:rtl/>
        </w:rPr>
        <w:t>בפרשת פלונית אלמונית</w:t>
      </w:r>
      <w:r>
        <w:rPr>
          <w:rFonts w:ascii="David" w:hAnsi="David"/>
          <w:rtl/>
        </w:rPr>
        <w:t xml:space="preserve"> לתקנה 5א, ודומה כי לצורך כך דרוש שינוי התקנה. הדבר לא נעשה עד כה, וזו הפרשנות המתבקשת של תקנה זו.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rtl/>
        </w:rPr>
        <w:t xml:space="preserve">כך, הוראות סעיף 77 לחוק בתי המשפט [נוסח משולב], תשמ"ד-1984 מגבילות הגשת תביעה נגררת נגד האדם המורשע בלבד, והוראות תקנה 5א מגבילות הגשת תובענה זו נגד מי שביצע את עבירת המין בעצמו. לא ברור, אם כן, מדוע העובדה כי מאז ההחלטה </w:t>
      </w:r>
      <w:r>
        <w:rPr>
          <w:rFonts w:ascii="David" w:hAnsi="David"/>
          <w:b/>
          <w:bCs/>
          <w:rtl/>
        </w:rPr>
        <w:t xml:space="preserve">בפרשת פלונית אלמונית </w:t>
      </w:r>
      <w:r>
        <w:rPr>
          <w:rFonts w:ascii="David" w:hAnsi="David"/>
          <w:rtl/>
        </w:rPr>
        <w:t xml:space="preserve">נכנסו לתוקף תקנות סדר דין האזרחי, תשע"ט-2018, יש כדי לשנות מפרשנות שניתנה לתקנה 5א לתקנות </w:t>
      </w:r>
      <w:r>
        <w:rPr>
          <w:rFonts w:ascii="David" w:hAnsi="David"/>
          <w:b/>
          <w:bCs/>
          <w:rtl/>
        </w:rPr>
        <w:t>בפרשת פלונית אלמונית</w:t>
      </w:r>
      <w:r>
        <w:rPr>
          <w:rFonts w:ascii="David" w:hAnsi="David"/>
          <w:rtl/>
        </w:rPr>
        <w:t>.</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באופן דומה, לא ברור מדוע ציון העובדה בפרשת </w:t>
      </w:r>
      <w:r>
        <w:rPr>
          <w:rFonts w:ascii="David" w:hAnsi="David"/>
          <w:b/>
          <w:bCs/>
          <w:rtl/>
        </w:rPr>
        <w:t>פלונית נ' פלוני</w:t>
      </w:r>
      <w:r>
        <w:rPr>
          <w:rFonts w:ascii="David" w:hAnsi="David"/>
          <w:rtl/>
        </w:rPr>
        <w:t xml:space="preserve"> (דנ"א 1292/20 פלונית נ' פלוני (19.7.2020), על ידי בית המשפט העליון, כי תכליתו של התיקון לתקנות האגרה (תקנה 5א) נועד להקל עם אוכלוסיית נפגעי עבירות המין, יש כדי לשנות מפרשנות תקנה 5א. זאת שהרי כבר </w:t>
      </w:r>
      <w:r>
        <w:rPr>
          <w:rFonts w:ascii="David" w:hAnsi="David"/>
          <w:b/>
          <w:bCs/>
          <w:rtl/>
        </w:rPr>
        <w:t>בפרשת פלונית אלמונית</w:t>
      </w:r>
      <w:r>
        <w:rPr>
          <w:rFonts w:ascii="David" w:hAnsi="David"/>
          <w:rtl/>
        </w:rPr>
        <w:t xml:space="preserve"> נקבע, כי ביחס לחלופה השלישית יש לנקוט בפרשנות מקלה, תוך הכללת נתבעים "עקיפים" בשל הטרדה מינית בהתאם לחוק למניעת הטרדה מינית (ולא רק התוקפים עצמם, כפי שהייתה עמדת המדינה </w:t>
      </w:r>
      <w:r>
        <w:rPr>
          <w:rFonts w:ascii="David" w:hAnsi="David"/>
          <w:b/>
          <w:bCs/>
          <w:rtl/>
        </w:rPr>
        <w:t>בפרשת פלונית אלמונית).</w:t>
      </w:r>
      <w:r>
        <w:rPr>
          <w:rFonts w:ascii="David" w:hAnsi="David"/>
          <w:rtl/>
        </w:rPr>
        <w:t xml:space="preserve"> עם זאת, כל האמור הוא בהתאם לזכאות המהותית לפי חוק למניעת הטרדה מינית, </w:t>
      </w:r>
      <w:r>
        <w:rPr>
          <w:rFonts w:ascii="David" w:hAnsi="David"/>
          <w:b/>
          <w:bCs/>
          <w:rtl/>
        </w:rPr>
        <w:t xml:space="preserve">שעיקרו יחסי עבודה וסביבת עבודה </w:t>
      </w:r>
      <w:r>
        <w:rPr>
          <w:rFonts w:ascii="David" w:hAnsi="David"/>
          <w:rtl/>
        </w:rPr>
        <w:t xml:space="preserve">כאשר נתבע המעסיק.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rtl/>
        </w:rPr>
        <w:t xml:space="preserve">כזכור, טענת התובעת היא, כי תביעתה מתאימה לחלופה השנייה כמו גם לשלישית שבתקנה 5א, ולכן שולמה האגרה המתאימה. אין חולק בין הצדדים כי החלופה הראשונה של תקנה 5א לא חלה במקרה דנן.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אשר לחלופה השנייה, היא מותנית בהתקיימותם של היסודות הבאים:</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3"/>
        </w:numPr>
        <w:spacing w:after="160" w:line="360" w:lineRule="auto"/>
        <w:jc w:val="both"/>
        <w:rPr>
          <w:rFonts w:ascii="David" w:hAnsi="David"/>
          <w:rtl/>
        </w:rPr>
      </w:pPr>
      <w:r>
        <w:rPr>
          <w:rFonts w:ascii="David" w:hAnsi="David"/>
          <w:rtl/>
        </w:rPr>
        <w:t>בתביעה שהגיש הנפגע;</w:t>
      </w:r>
    </w:p>
    <w:p w:rsidR="00A868C3" w:rsidRDefault="00A868C3" w:rsidP="00A868C3">
      <w:pPr>
        <w:pStyle w:val="ad"/>
        <w:numPr>
          <w:ilvl w:val="0"/>
          <w:numId w:val="3"/>
        </w:numPr>
        <w:spacing w:after="160" w:line="360" w:lineRule="auto"/>
        <w:jc w:val="both"/>
        <w:rPr>
          <w:rFonts w:ascii="David" w:hAnsi="David"/>
        </w:rPr>
      </w:pPr>
      <w:r>
        <w:rPr>
          <w:rFonts w:ascii="David" w:hAnsi="David"/>
          <w:rtl/>
        </w:rPr>
        <w:t>נגד מי שביצע מעשה המהווה עבירת מין;</w:t>
      </w:r>
    </w:p>
    <w:p w:rsidR="00A868C3" w:rsidRDefault="00A868C3" w:rsidP="00A868C3">
      <w:pPr>
        <w:pStyle w:val="ad"/>
        <w:numPr>
          <w:ilvl w:val="0"/>
          <w:numId w:val="3"/>
        </w:numPr>
        <w:spacing w:after="160" w:line="360" w:lineRule="auto"/>
        <w:jc w:val="both"/>
        <w:rPr>
          <w:rFonts w:ascii="David" w:hAnsi="David"/>
        </w:rPr>
      </w:pPr>
      <w:r>
        <w:rPr>
          <w:rFonts w:ascii="David" w:hAnsi="David"/>
          <w:rtl/>
        </w:rPr>
        <w:t>בשל עבירות מין שנעברו כלפיו לפי סימן ה' האמור.</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מטבע הדברים, אין זה המקום לבחון ולקבוע האם התובעת הייתה נפגעת של הפעילות שתוארה לעיל, ודי בטענתה כי כך לצורך ההחלטה בסוגיה זו. עם זאת, ביחס לרכיב השני קיים הקושי ממשי (כמו גם ביחס לרכיב השלישי). טענת התובעת היא, כי הנתבעים גרמו לפרסום תלונתה על פלוני, והדבר מהווה עבירה לפי סעיף 352 לחוק העונשין. סעיף זה כלול בסימן ה (עבירות מין) שבפרק י לחוק העונשין (ומטעם זה, כך דומה, מהווה הדבר עוולה של הפרת הוראה חקוקה, לטענת תהובעת). עם זאת, </w:t>
      </w:r>
      <w:r>
        <w:rPr>
          <w:rFonts w:ascii="David" w:hAnsi="David"/>
          <w:b/>
          <w:bCs/>
          <w:rtl/>
        </w:rPr>
        <w:t>לא מדובר במעשה המהווה עבירת מין,</w:t>
      </w:r>
      <w:r>
        <w:rPr>
          <w:rFonts w:ascii="David" w:hAnsi="David"/>
          <w:rtl/>
        </w:rPr>
        <w:t xml:space="preserve"> אף שעבירה זו כלולה בסימן זה.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rtl/>
        </w:rPr>
        <w:t>מטרתו של סעיף 352 לחוק העונשין להגן על נפגע עבירת מין או על מי שהתלונן כנפגע עבירת מין מפני פרסום או זיהויי על ידי סביבתו הקרובה או כלל הציבור. לא מדובר בעבירת מין עצמה, אלא על עבירה "נלווית" שמטרתה להגן על הנפגע או המתלונן שנפגע מפני עבירת מין אחרת הכלולה בהוראות הסימן. בפרשנות זו תומכות גם הוראות חוק אחרות, אשר אינן מגדירות את הוראת סעיף 352 לחוק העונשין כעבירת מין (ראו למשל הגדרת "עבירת מין" שבסעיף 2 לחוק הגנה על הציבור מפני ביצוע עבירות מין, תשס"ו-2006; הגדרת "עבירת מין או אלימות" שבסעיף 2 לחוק סיוע לקטינים נפגעי עבירות מין או אלימות, תשס"ח-2008, המפנה לפרט (א) שבתוספת לחוק לתיקון דיני הראיות (הגנת ילדים), תשט"ו-1955. פרט זה אף הוא כולל את סימן ה' לפרק י' בחוק העונשין, אך לא סעיף 352 לחוק העונשין; או הגדרת "עבירת מין או אלימות" שבתוספת ל</w:t>
      </w:r>
      <w:r>
        <w:rPr>
          <w:rtl/>
        </w:rPr>
        <w:t xml:space="preserve"> </w:t>
      </w:r>
      <w:r>
        <w:rPr>
          <w:rFonts w:ascii="David" w:hAnsi="David"/>
          <w:rtl/>
        </w:rPr>
        <w:t>חוק זכויות נפגעי עבירה, תשס"א-2001).</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מכאן, שככל שטענת התובעת – וזו טענתה ביחס לחוק העונשין המיוחסת לנתבעים דכאן – נוגעת לסעיף 352 לחוק העונשין, הרי שאין מדובר בעבירת מין, ולא מתקיימת החלופה השנייה של תקנה 5א לתקנות.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החלופה השלישית מתייחסת לתובענה המוגשת מכח חוק למניעת הטרדה מינית. טענת התובעת היא, כי הנתבעים היו מעסיקי פלוני, ועל כן הם חבים כלפיה על יסוד סעיף 7(א) לחוק למניעת הטרדה מינית.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יש לדחות טענה זו.</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החובות המוטלות על מעסיק במסגרת חוק למניעת הטרדה מינית לא נועדו להגן על כלל הציבור, אלא על </w:t>
      </w:r>
      <w:r>
        <w:rPr>
          <w:rFonts w:ascii="David" w:hAnsi="David"/>
          <w:b/>
          <w:bCs/>
          <w:rtl/>
        </w:rPr>
        <w:t>יחסי העבודה במקום העבודה</w:t>
      </w:r>
      <w:r>
        <w:rPr>
          <w:rFonts w:ascii="David" w:hAnsi="David"/>
          <w:rtl/>
        </w:rPr>
        <w:t>. סעיף 6א לחוק למניעת הטרדה מינית קובע, כי:</w:t>
      </w:r>
    </w:p>
    <w:p w:rsidR="00A868C3" w:rsidRDefault="00A868C3" w:rsidP="00A868C3">
      <w:pPr>
        <w:pStyle w:val="ad"/>
        <w:spacing w:line="360" w:lineRule="auto"/>
        <w:jc w:val="both"/>
        <w:rPr>
          <w:rFonts w:ascii="David" w:hAnsi="David"/>
        </w:rPr>
      </w:pPr>
    </w:p>
    <w:p w:rsidR="00A868C3" w:rsidRDefault="00A868C3" w:rsidP="00A868C3">
      <w:pPr>
        <w:pStyle w:val="ad"/>
        <w:spacing w:line="360" w:lineRule="auto"/>
        <w:jc w:val="both"/>
        <w:rPr>
          <w:rFonts w:ascii="FrankRuehl" w:hAnsi="FrankRuehl" w:cs="FrankRuehl"/>
          <w:rtl/>
        </w:rPr>
      </w:pPr>
      <w:r>
        <w:rPr>
          <w:rFonts w:ascii="FrankRuehl" w:hAnsi="FrankRuehl" w:cs="FrankRuehl"/>
          <w:rtl/>
        </w:rPr>
        <w:t xml:space="preserve">"בתובענה של עובד או של דורש עבודה בשל </w:t>
      </w:r>
      <w:r>
        <w:rPr>
          <w:rFonts w:ascii="FrankRuehl" w:hAnsi="FrankRuehl" w:cs="FrankRuehl"/>
          <w:u w:val="single"/>
          <w:rtl/>
        </w:rPr>
        <w:t>פגיעה על רקע הטרדה מינית במסגרת יחסי עבודה</w:t>
      </w:r>
      <w:r>
        <w:rPr>
          <w:rFonts w:ascii="FrankRuehl" w:hAnsi="FrankRuehl" w:cs="FrankRuehl"/>
          <w:rtl/>
        </w:rPr>
        <w:t xml:space="preserve">, כאמור בסעיף 7 לחוק שוויון ההזדמנויות בעבודה, תהיה חובת ההוכחה על המעסיק כי לא פגע פגיעה כאמור באותו סעיף, אם הוכיח העובד או דורש העבודה כי התקיים האמור בפסקה מפסקאות (1) עד (3) שבסעיף 7(א) לחוק האמור..." </w:t>
      </w:r>
      <w:r>
        <w:rPr>
          <w:rFonts w:ascii="David" w:hAnsi="David"/>
          <w:rtl/>
        </w:rPr>
        <w:t>(ההדגשה אינה במקור – הח"מ).</w:t>
      </w:r>
    </w:p>
    <w:p w:rsidR="00A868C3" w:rsidRDefault="00A868C3" w:rsidP="00A868C3">
      <w:pPr>
        <w:pStyle w:val="ad"/>
        <w:spacing w:line="360" w:lineRule="auto"/>
        <w:jc w:val="both"/>
        <w:rPr>
          <w:rFonts w:ascii="FrankRuehl" w:hAnsi="FrankRuehl" w:cs="FrankRuehl"/>
          <w:rtl/>
        </w:rPr>
      </w:pPr>
    </w:p>
    <w:p w:rsidR="00A868C3" w:rsidRDefault="00A868C3" w:rsidP="00A868C3">
      <w:pPr>
        <w:pStyle w:val="ad"/>
        <w:spacing w:line="360" w:lineRule="auto"/>
        <w:jc w:val="both"/>
        <w:rPr>
          <w:rFonts w:ascii="FrankRuehl" w:hAnsi="FrankRuehl" w:cs="FrankRuehl"/>
          <w:rtl/>
        </w:rPr>
      </w:pPr>
      <w:r>
        <w:rPr>
          <w:rFonts w:ascii="David" w:hAnsi="David"/>
          <w:rtl/>
        </w:rPr>
        <w:t>בהמשך, סעיף 7 לחוק למניעת הטרדה, מפרט את החובות המוטלות על מעסיק, ובסעיף 7(ג) נקבע, כי הפרתן של אותן חובות על המעסיק, עשויה להביא לחיוב המעסיק בגין עוולה שבוצעה ובלבד שזו בוצעה במסגרת יחסי עבודה:</w:t>
      </w:r>
      <w:r>
        <w:rPr>
          <w:rFonts w:ascii="FrankRuehl" w:hAnsi="FrankRuehl" w:cs="FrankRuehl"/>
          <w:rtl/>
        </w:rPr>
        <w:t xml:space="preserve"> "מעסיק שלא מילא את חובותיו לפי סעיפים </w:t>
      </w:r>
      <w:r>
        <w:rPr>
          <w:rFonts w:ascii="FrankRuehl" w:hAnsi="FrankRuehl" w:cs="FrankRuehl"/>
          <w:rtl/>
        </w:rPr>
        <w:lastRenderedPageBreak/>
        <w:t xml:space="preserve">קטנים (א)(1) ו-(2) ו-(ב) יהיה אחראי לעוולה אזרחית לפי סעיף 6, או לעוולה אזרחית בשל פגיעה כאמור בסעיף 7 לחוק שוויון ההזדמנויות בעבודה, שעשה עובדו, או ממונה מטעמו אף אם אינו עובדו, </w:t>
      </w:r>
      <w:r>
        <w:rPr>
          <w:rFonts w:ascii="FrankRuehl" w:hAnsi="FrankRuehl" w:cs="FrankRuehl"/>
          <w:u w:val="single"/>
          <w:rtl/>
        </w:rPr>
        <w:t>במסגרת יחסי העבודה"</w:t>
      </w:r>
      <w:r>
        <w:rPr>
          <w:rFonts w:ascii="FrankRuehl" w:hAnsi="FrankRuehl" w:cs="FrankRuehl"/>
          <w:rtl/>
        </w:rPr>
        <w:t xml:space="preserve"> </w:t>
      </w:r>
      <w:r>
        <w:rPr>
          <w:rFonts w:ascii="David" w:hAnsi="David"/>
          <w:rtl/>
        </w:rPr>
        <w:t>(ההדגשה אינה במקור – הח"מ).</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נוכח הוראות אלה, בצדק ציינה המדינה, כי על פי פסיקת בתי הדין לעבודה, ההגנה ניתנה לסביבת העבודה:</w:t>
      </w:r>
    </w:p>
    <w:p w:rsidR="00A868C3" w:rsidRDefault="00A868C3" w:rsidP="00A868C3">
      <w:pPr>
        <w:pStyle w:val="ad"/>
        <w:spacing w:line="360" w:lineRule="auto"/>
        <w:jc w:val="both"/>
        <w:rPr>
          <w:rFonts w:ascii="David" w:hAnsi="David"/>
        </w:rPr>
      </w:pPr>
    </w:p>
    <w:p w:rsidR="00A868C3" w:rsidRDefault="00A868C3" w:rsidP="00A868C3">
      <w:pPr>
        <w:pStyle w:val="ad"/>
        <w:spacing w:line="360" w:lineRule="auto"/>
        <w:jc w:val="both"/>
        <w:rPr>
          <w:rFonts w:ascii="David" w:hAnsi="David"/>
          <w:rtl/>
        </w:rPr>
      </w:pPr>
      <w:r>
        <w:rPr>
          <w:rFonts w:ascii="FrankRuehl" w:hAnsi="FrankRuehl" w:cs="FrankRuehl"/>
          <w:rtl/>
        </w:rPr>
        <w:t xml:space="preserve">"הנה כי כן, סעיף 7 לחוק מטיל אחריות על מעבידים בשל הטרדה מינית שביצעו עובדיהם או ממונים מטעמם, במסגרת יחסי העבודה. בבסיס אחריות זו עומדת ההנחה, לפיה המעביד הינו בעל חובות אמון כלפי עובדיו וחובה לדאוג לרווחתם, ולספק להם סביבת עבודה חפה ממעשים של הטרדה מינית" </w:t>
      </w:r>
      <w:r>
        <w:rPr>
          <w:rFonts w:ascii="David" w:hAnsi="David"/>
          <w:rtl/>
        </w:rPr>
        <w:t xml:space="preserve">(ההדגשה אינה במקור – הח"מ) (ע"ע (עבודה ארצי) 1567/04 </w:t>
      </w:r>
      <w:r>
        <w:rPr>
          <w:rFonts w:ascii="David" w:hAnsi="David"/>
          <w:b/>
          <w:bCs/>
          <w:rtl/>
        </w:rPr>
        <w:t>עיריית ירושלים נ' פלונית א'</w:t>
      </w:r>
      <w:r>
        <w:rPr>
          <w:rFonts w:ascii="David" w:hAnsi="David"/>
          <w:rtl/>
        </w:rPr>
        <w:t xml:space="preserve"> (6.7.2006)).</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line="360" w:lineRule="auto"/>
        <w:jc w:val="both"/>
        <w:rPr>
          <w:rFonts w:ascii="David" w:hAnsi="David"/>
          <w:rtl/>
        </w:rPr>
      </w:pPr>
      <w:r>
        <w:rPr>
          <w:rFonts w:ascii="David" w:hAnsi="David"/>
          <w:rtl/>
        </w:rPr>
        <w:t xml:space="preserve">עיון מדוקדק בכתב תביעת התובעת מלמד, כי לא עלתה כלל הטענה שהיא הועסקה על ידי הנתבעים. טענת התובעת היא כי פלוני הועסק על ידי הנתבעים, ומכאן חובת הנתבעים כלפיה. על כן, גם אם היה מקום לקבל את טענת התובעת כי פלוני הוא עובד של הנתבעים – ואיני עושה כן, שכן מדובר בטענה מוקשית מעוד בשים לב למעמד חבר-הכנסת במשפט הישראלי – אין מקום לקבל את טענתה לתחולת חוק הטרדה מינית ביחס עליה במערכת היחסים בינה ובין הנתבעים, שכן היא לא הועסקה על ידם, וממילא לא מדובר "במסגרת יחסי עבודה". </w:t>
      </w:r>
    </w:p>
    <w:p w:rsidR="00A868C3" w:rsidRDefault="00A868C3" w:rsidP="00A868C3">
      <w:pPr>
        <w:spacing w:line="360" w:lineRule="auto"/>
        <w:ind w:left="720"/>
        <w:jc w:val="both"/>
        <w:rPr>
          <w:rFonts w:ascii="David" w:hAnsi="David"/>
        </w:rPr>
      </w:pPr>
    </w:p>
    <w:p w:rsidR="00A868C3" w:rsidRDefault="00A868C3" w:rsidP="00A868C3">
      <w:pPr>
        <w:spacing w:line="360" w:lineRule="auto"/>
        <w:ind w:left="720"/>
        <w:jc w:val="both"/>
        <w:rPr>
          <w:rFonts w:ascii="David" w:hAnsi="David"/>
          <w:rtl/>
        </w:rPr>
      </w:pPr>
      <w:r>
        <w:rPr>
          <w:rFonts w:ascii="David" w:hAnsi="David"/>
          <w:rtl/>
        </w:rPr>
        <w:t xml:space="preserve">יצויין גם, בהקשר זה, כי ככל שהייתה טענה שהתובעת הועסקה על ידי הנתבעים, והטלת החובות עליהן במסגרת זו היא מכח יחסי עובד-מעסיק, הרי שממילא היה מקום לבחון טענה זו במסגרת בית הדין לעבודה, ולא בית משפט השלום. והדבר נאמר מעבר לצורך. </w:t>
      </w:r>
    </w:p>
    <w:p w:rsidR="00A868C3" w:rsidRDefault="00A868C3" w:rsidP="00A868C3">
      <w:pPr>
        <w:pStyle w:val="ad"/>
        <w:spacing w:line="360" w:lineRule="auto"/>
        <w:jc w:val="both"/>
        <w:rPr>
          <w:rFonts w:ascii="David" w:hAnsi="David"/>
          <w:rtl/>
        </w:rPr>
      </w:pPr>
    </w:p>
    <w:p w:rsidR="00A868C3" w:rsidRDefault="00A868C3" w:rsidP="00A868C3">
      <w:pPr>
        <w:pStyle w:val="ad"/>
        <w:numPr>
          <w:ilvl w:val="0"/>
          <w:numId w:val="1"/>
        </w:numPr>
        <w:spacing w:line="360" w:lineRule="auto"/>
        <w:jc w:val="both"/>
        <w:rPr>
          <w:rFonts w:ascii="David" w:hAnsi="David"/>
        </w:rPr>
      </w:pPr>
      <w:r>
        <w:rPr>
          <w:rFonts w:ascii="David" w:hAnsi="David"/>
          <w:rtl/>
        </w:rPr>
        <w:t>נוכח האמור, לא חלה במקרה דנן גם החלופה השלישית שבתקנה 5א לתקנות.</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בהינתן שכך, תביעת התובעת אינה תביעה לפי תקנה 5א לתקנות, והיא אינה תובענה בגין נזקי גוף. בנוסף, בפסיקה נקבע, כי תובענה המוגשת בגין נזק שאינו ממון (עוגמת נפש) בלבד, היא תובענה כספית.</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התובעת לא הפרידה בין הסעדים להם עתרה בכתב תביעה, ותביעתה בגין כל הסעדים היא על סך 1,500,000 ₪. התובעת פירטה, כי היא עותרת לשיפוי בגין הסכומים בהם חויבה כפיצוי והוצאות לטובת פלוני, פיצוי בגין הוצאותיה היא ושכר טרחה עו"ד אותם נאלצה </w:t>
      </w:r>
      <w:r>
        <w:rPr>
          <w:rFonts w:ascii="David" w:hAnsi="David"/>
          <w:rtl/>
        </w:rPr>
        <w:lastRenderedPageBreak/>
        <w:t>לשלם בגין ייצוגה בתיק בית שמש, פיצוי בגין פגיעה בפרטיות, פיצוי לפי פקודת הנזיקין [נוסח חדש], פיצוי לפי חוק הגנת הפרטיות ופיצוי, כאמור, לפי חוק למניעת הטרדה מינית.</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לשם השלמת התמונה אציין, כי אף אם היו חלק מרכיבי תביעת התובעת הולמים את הוראות תקנה 5א, ממילא חלקים אחרים בה לא. כך, כל רכיבי תביעתה לשיפוי בגין ההליכים בבית המשפט השלום בבית שמש – הם תביעה לסכום קצוב; תביעה לפי חוק הגנת הפרטיות ותביעה לפי פקודת הנזיקין [נוסח חדש]. דבר זה היה מחייב את תיקון כתב התביעה, תוך שומת האגרה ותשלום האגרה הגבוה יותר מבין האגרות שיש לשלם (בגין רכיב אחד של תביעה לפי תקנה 5א, ובין יתר סעיפי תביעה לפי תקנה 6 לתקנות).</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בסיכום כל האמור, מדובר אם כן בתובענה לסכום קצוב, שהוגדר על ידי התובעת על סך 1,500,000 ₪, ויש לשלם אגרה בגינו בהתאם לתקנה 6 לתקנות.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הצדדים פירטו טענות נוספות, אך לא ראיתי בהן כדי לשנות מתוצאות החלטתי זו, ועל כן לא ראיתי לפרטן. </w:t>
      </w:r>
    </w:p>
    <w:p w:rsidR="00A868C3" w:rsidRDefault="00A868C3" w:rsidP="00A868C3">
      <w:pPr>
        <w:spacing w:line="360" w:lineRule="auto"/>
        <w:jc w:val="both"/>
        <w:rPr>
          <w:rFonts w:ascii="David" w:hAnsi="David"/>
        </w:rPr>
      </w:pPr>
    </w:p>
    <w:p w:rsidR="00A868C3" w:rsidRDefault="00A868C3" w:rsidP="00A868C3">
      <w:pPr>
        <w:spacing w:line="360" w:lineRule="auto"/>
        <w:jc w:val="both"/>
        <w:rPr>
          <w:rFonts w:ascii="David" w:hAnsi="David"/>
          <w:b/>
          <w:bCs/>
          <w:u w:val="single"/>
          <w:rtl/>
        </w:rPr>
      </w:pPr>
      <w:r>
        <w:rPr>
          <w:rFonts w:ascii="David" w:hAnsi="David"/>
          <w:b/>
          <w:bCs/>
          <w:u w:val="single"/>
          <w:rtl/>
        </w:rPr>
        <w:t>סיכום ומסקנות</w:t>
      </w:r>
    </w:p>
    <w:p w:rsidR="00A868C3" w:rsidRDefault="00A868C3" w:rsidP="00A868C3">
      <w:pPr>
        <w:pStyle w:val="ad"/>
        <w:numPr>
          <w:ilvl w:val="0"/>
          <w:numId w:val="1"/>
        </w:numPr>
        <w:spacing w:after="160" w:line="360" w:lineRule="auto"/>
        <w:jc w:val="both"/>
        <w:rPr>
          <w:rFonts w:ascii="David" w:hAnsi="David"/>
          <w:rtl/>
        </w:rPr>
      </w:pPr>
      <w:r>
        <w:rPr>
          <w:rFonts w:ascii="David" w:hAnsi="David"/>
          <w:rtl/>
        </w:rPr>
        <w:t>נוכח האמור, אני מורה כי התובענה תדון כתובענה לסכום קצוב. על התובעת להשלים את האגרה כנדרש לתביעה בסך 1,500,000 ₪ (מחצית ראשונה בשלב זה) עד</w:t>
      </w:r>
      <w:r>
        <w:rPr>
          <w:rFonts w:ascii="David" w:hAnsi="David" w:hint="cs"/>
          <w:rtl/>
        </w:rPr>
        <w:t xml:space="preserve"> יום</w:t>
      </w:r>
      <w:r>
        <w:rPr>
          <w:rFonts w:ascii="David" w:hAnsi="David"/>
          <w:rtl/>
        </w:rPr>
        <w:t xml:space="preserve"> 2.4.2023.</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Pr>
      </w:pPr>
      <w:r>
        <w:rPr>
          <w:rFonts w:ascii="David" w:hAnsi="David"/>
          <w:rtl/>
        </w:rPr>
        <w:t xml:space="preserve">בהתאם להוראות הדין והפסיקה (ת"א (מחוזי י-ם) 5171/03 </w:t>
      </w:r>
      <w:r>
        <w:rPr>
          <w:rFonts w:ascii="David" w:hAnsi="David"/>
          <w:b/>
          <w:bCs/>
          <w:rtl/>
        </w:rPr>
        <w:t xml:space="preserve">מדינת ישראל - מינהל מקרקעי ישראל נ' קיבוץ שריד, אגודה שיתופית חקלאית </w:t>
      </w:r>
      <w:r>
        <w:rPr>
          <w:rFonts w:ascii="David" w:hAnsi="David"/>
          <w:rtl/>
        </w:rPr>
        <w:t>(18.9.2003)), אין מקום להגשת כתב הגנה בטרם שולמה האגרה המתאימה והמלאה בגין התובענה, על כן, ככל שתשולם האגרה עד המועד האמור – יגישו הנתבעים כתב הגנה תוך 30 ימים מיום מתן הודעת התובעת לתיק בית המשפט על השלמת האגרה הנדרשת.</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ככל שלא תושלם האגרה עד יום 2.4.2023, אורה על מחיקת התובענה.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לפנים משורת הדין ורק מהטעם שלא התבקשה פסיקת הוצאות בתשובת המדינה או הנתבעים, איני עושה צו להוצאות לחובת התובעת בגין הדיון בסוגיות שלהלן.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rtl/>
        </w:rPr>
      </w:pPr>
      <w:r>
        <w:rPr>
          <w:rFonts w:ascii="David" w:hAnsi="David"/>
          <w:rtl/>
        </w:rPr>
        <w:t xml:space="preserve">בשים לב למטריה בה עסקינן, החלטה זו ניתנת לפרסום בהשמטת הפרטים המזהים של מי מהצדדים המעורבים, ובפרט התובעת. </w:t>
      </w:r>
    </w:p>
    <w:p w:rsidR="00A868C3" w:rsidRDefault="00A868C3" w:rsidP="00A868C3">
      <w:pPr>
        <w:pStyle w:val="ad"/>
        <w:spacing w:line="360" w:lineRule="auto"/>
        <w:jc w:val="both"/>
        <w:rPr>
          <w:rFonts w:ascii="David" w:hAnsi="David"/>
        </w:rPr>
      </w:pPr>
    </w:p>
    <w:p w:rsidR="00A868C3" w:rsidRDefault="00A868C3" w:rsidP="00A868C3">
      <w:pPr>
        <w:pStyle w:val="ad"/>
        <w:numPr>
          <w:ilvl w:val="0"/>
          <w:numId w:val="1"/>
        </w:numPr>
        <w:spacing w:after="160" w:line="360" w:lineRule="auto"/>
        <w:jc w:val="both"/>
        <w:rPr>
          <w:rFonts w:ascii="David" w:hAnsi="David"/>
          <w:b/>
          <w:bCs/>
          <w:rtl/>
        </w:rPr>
      </w:pPr>
      <w:r>
        <w:rPr>
          <w:rFonts w:ascii="David" w:hAnsi="David"/>
          <w:b/>
          <w:bCs/>
          <w:rtl/>
        </w:rPr>
        <w:lastRenderedPageBreak/>
        <w:t xml:space="preserve">מטעמים אלה, בשלב זה, התיק יתנהל בדלתיים סגורות. ככל שלצדדים טענות לעניין זה – יגישו בקשה מתאימה והיא תבחן על ידי בית המשפט שידון בתובענה. </w:t>
      </w:r>
    </w:p>
    <w:p w:rsidR="00A868C3" w:rsidRDefault="00A868C3" w:rsidP="00A868C3">
      <w:pPr>
        <w:pStyle w:val="ad"/>
        <w:spacing w:line="360" w:lineRule="auto"/>
        <w:jc w:val="both"/>
        <w:rPr>
          <w:rFonts w:ascii="David" w:hAnsi="David"/>
        </w:rPr>
      </w:pPr>
    </w:p>
    <w:p w:rsidR="00A868C3" w:rsidRDefault="00A868C3" w:rsidP="00A868C3">
      <w:pPr>
        <w:spacing w:line="360" w:lineRule="auto"/>
        <w:jc w:val="both"/>
        <w:rPr>
          <w:rFonts w:ascii="David" w:hAnsi="David"/>
          <w:b/>
          <w:bCs/>
          <w:rtl/>
        </w:rPr>
      </w:pPr>
      <w:r>
        <w:rPr>
          <w:rFonts w:ascii="David" w:hAnsi="David"/>
          <w:b/>
          <w:bCs/>
          <w:rtl/>
        </w:rPr>
        <w:t>תזכורת פנימית ליום 3.4.2022.</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מרץ 2023</w:t>
          </w:r>
        </w:sdtContent>
      </w:sdt>
      <w:r w:rsidR="00005C8B">
        <w:rPr>
          <w:rFonts w:ascii="Arial" w:hAnsi="Arial"/>
          <w:noProof w:val="0"/>
          <w:rtl/>
        </w:rPr>
        <w:t>, בהעדר הצדדים.</w:t>
      </w:r>
    </w:p>
    <w:p w:rsidR="00C43648" w:rsidRDefault="0092632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99986003"/>
        </w:sdtPr>
        <w:sdtEndPr/>
        <w:sdtContent>
          <w:r w:rsidR="003E46D0">
            <w:drawing>
              <wp:inline distT="0" distB="0" distL="0" distR="0" wp14:editId="50D07946">
                <wp:extent cx="1209675"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09675" cy="10572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32E" w:rsidRDefault="0092632E">
      <w:r>
        <w:separator/>
      </w:r>
    </w:p>
  </w:endnote>
  <w:endnote w:type="continuationSeparator" w:id="0">
    <w:p w:rsidR="0092632E" w:rsidRDefault="0092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7188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7188D">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32E" w:rsidRDefault="0092632E">
      <w:r>
        <w:separator/>
      </w:r>
    </w:p>
  </w:footnote>
  <w:footnote w:type="continuationSeparator" w:id="0">
    <w:p w:rsidR="0092632E" w:rsidRDefault="0092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4"/>
      <w:gridCol w:w="3495"/>
    </w:tblGrid>
    <w:tr w:rsidR="00694556" w:rsidTr="00A868C3">
      <w:trPr>
        <w:trHeight w:hRule="exact" w:val="391"/>
        <w:jc w:val="center"/>
      </w:trPr>
      <w:sdt>
        <w:sdtPr>
          <w:rPr>
            <w:rFonts w:ascii="Tahoma" w:hAnsi="Tahoma"/>
            <w:b/>
            <w:bCs/>
            <w:color w:val="000080"/>
            <w:sz w:val="32"/>
            <w:szCs w:val="32"/>
            <w:rtl/>
          </w:rPr>
          <w:alias w:val="1174"/>
          <w:tag w:val="1174"/>
          <w:id w:val="-1585920285"/>
          <w:text w:multiLine="1"/>
        </w:sdtPr>
        <w:sdtEndPr/>
        <w:sdtContent>
          <w:tc>
            <w:tcPr>
              <w:tcW w:w="8299" w:type="dxa"/>
              <w:gridSpan w:val="2"/>
            </w:tcPr>
            <w:p w:rsidR="00694556" w:rsidRPr="00F038D8" w:rsidRDefault="003D1C8C" w:rsidP="003230C7">
              <w:pPr>
                <w:pStyle w:val="a3"/>
                <w:jc w:val="center"/>
                <w:rPr>
                  <w:rFonts w:ascii="Tahoma" w:hAnsi="Tahoma"/>
                  <w:noProof w:val="0"/>
                  <w:color w:val="000080"/>
                  <w:sz w:val="32"/>
                  <w:szCs w:val="32"/>
                  <w:rtl/>
                </w:rPr>
              </w:pPr>
              <w:r w:rsidRPr="00A868C3">
                <w:rPr>
                  <w:rFonts w:ascii="Tahoma" w:hAnsi="Tahoma"/>
                  <w:b/>
                  <w:bCs/>
                  <w:color w:val="000080"/>
                  <w:sz w:val="32"/>
                  <w:szCs w:val="32"/>
                  <w:rtl/>
                </w:rPr>
                <w:t>בית משפט השלום בבת ים</w:t>
              </w:r>
            </w:p>
          </w:tc>
        </w:sdtContent>
      </w:sdt>
    </w:tr>
    <w:tr w:rsidR="00694556" w:rsidTr="00A868C3">
      <w:trPr>
        <w:trHeight w:val="187"/>
        <w:jc w:val="center"/>
      </w:trPr>
      <w:tc>
        <w:tcPr>
          <w:tcW w:w="4804" w:type="dxa"/>
        </w:tcPr>
        <w:p w:rsidR="00694556" w:rsidRDefault="00694556">
          <w:pPr>
            <w:rPr>
              <w:b/>
              <w:bCs/>
              <w:noProof w:val="0"/>
              <w:sz w:val="26"/>
              <w:szCs w:val="26"/>
              <w:rtl/>
            </w:rPr>
          </w:pPr>
        </w:p>
      </w:tc>
      <w:tc>
        <w:tcPr>
          <w:tcW w:w="3495" w:type="dxa"/>
        </w:tcPr>
        <w:p w:rsidR="00694556" w:rsidRDefault="00694556">
          <w:pPr>
            <w:pStyle w:val="a3"/>
            <w:jc w:val="right"/>
            <w:rPr>
              <w:b/>
              <w:bCs/>
              <w:noProof w:val="0"/>
              <w:sz w:val="26"/>
              <w:szCs w:val="26"/>
              <w:rtl/>
            </w:rPr>
          </w:pPr>
        </w:p>
      </w:tc>
    </w:tr>
    <w:tr w:rsidR="00694556" w:rsidTr="00A868C3">
      <w:trPr>
        <w:trHeight w:val="187"/>
        <w:jc w:val="center"/>
      </w:trPr>
      <w:tc>
        <w:tcPr>
          <w:tcW w:w="8299" w:type="dxa"/>
          <w:gridSpan w:val="2"/>
        </w:tcPr>
        <w:p w:rsidR="007D45E3" w:rsidRDefault="0092632E" w:rsidP="00A868C3">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55926-12-22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פלוני</w:t>
              </w:r>
              <w:r w:rsidR="00A868C3">
                <w:rPr>
                  <w:rFonts w:hint="cs"/>
                  <w:b/>
                  <w:bCs/>
                  <w:noProof w:val="0"/>
                  <w:sz w:val="26"/>
                  <w:szCs w:val="26"/>
                  <w:rtl/>
                </w:rPr>
                <w:t>ת</w:t>
              </w:r>
              <w:r w:rsidR="00FE09EC">
                <w:rPr>
                  <w:b/>
                  <w:bCs/>
                  <w:noProof w:val="0"/>
                  <w:sz w:val="26"/>
                  <w:szCs w:val="26"/>
                  <w:rtl/>
                </w:rPr>
                <w:t xml:space="preserve"> נ' </w:t>
              </w:r>
              <w:r w:rsidR="00A868C3">
                <w:rPr>
                  <w:rFonts w:hint="cs"/>
                  <w:b/>
                  <w:bCs/>
                  <w:noProof w:val="0"/>
                  <w:sz w:val="26"/>
                  <w:szCs w:val="26"/>
                  <w:rtl/>
                </w:rPr>
                <w:t>אלמונית</w:t>
              </w:r>
              <w:r w:rsidR="00FE09EC">
                <w:rPr>
                  <w:b/>
                  <w:bCs/>
                  <w:noProof w:val="0"/>
                  <w:sz w:val="26"/>
                  <w:szCs w:val="26"/>
                  <w:rtl/>
                </w:rPr>
                <w:t xml:space="preserve"> ואח'</w:t>
              </w:r>
            </w:sdtContent>
          </w:sdt>
          <w:r w:rsidR="00CD516B">
            <w:rPr>
              <w:b/>
              <w:bCs/>
              <w:noProof w:val="0"/>
              <w:sz w:val="26"/>
              <w:szCs w:val="26"/>
              <w:rtl/>
            </w:rPr>
            <w:t xml:space="preserve"> </w:t>
          </w: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911DE"/>
    <w:multiLevelType w:val="hybridMultilevel"/>
    <w:tmpl w:val="2A267FB8"/>
    <w:lvl w:ilvl="0" w:tplc="576E81E8">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2C7D0551"/>
    <w:multiLevelType w:val="hybridMultilevel"/>
    <w:tmpl w:val="70BC6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F32132B"/>
    <w:multiLevelType w:val="hybridMultilevel"/>
    <w:tmpl w:val="FEC22458"/>
    <w:lvl w:ilvl="0" w:tplc="BBE00AE2">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B7BE4"/>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E46D0"/>
    <w:rsid w:val="0040096C"/>
    <w:rsid w:val="00414F1F"/>
    <w:rsid w:val="0043125D"/>
    <w:rsid w:val="0043502B"/>
    <w:rsid w:val="004443AC"/>
    <w:rsid w:val="00444B02"/>
    <w:rsid w:val="00451E28"/>
    <w:rsid w:val="00462C62"/>
    <w:rsid w:val="00465D36"/>
    <w:rsid w:val="004C11A8"/>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92F1F"/>
    <w:rsid w:val="005C0627"/>
    <w:rsid w:val="005C3E8F"/>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7188D"/>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2632E"/>
    <w:rsid w:val="0094424E"/>
    <w:rsid w:val="00955642"/>
    <w:rsid w:val="009622DF"/>
    <w:rsid w:val="0096493F"/>
    <w:rsid w:val="00967DFF"/>
    <w:rsid w:val="0097512E"/>
    <w:rsid w:val="00994341"/>
    <w:rsid w:val="009D1A48"/>
    <w:rsid w:val="009E1CE7"/>
    <w:rsid w:val="009E4EA5"/>
    <w:rsid w:val="009F164B"/>
    <w:rsid w:val="009F323C"/>
    <w:rsid w:val="00A3392B"/>
    <w:rsid w:val="00A81988"/>
    <w:rsid w:val="00A85E34"/>
    <w:rsid w:val="00A868C3"/>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43D"/>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868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35773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E2792" w:rsidP="002E2792">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E2792"/>
    <w:rsid w:val="00345C9D"/>
    <w:rsid w:val="0048651F"/>
    <w:rsid w:val="004B017A"/>
    <w:rsid w:val="005157ED"/>
    <w:rsid w:val="00556D67"/>
    <w:rsid w:val="00673B50"/>
    <w:rsid w:val="0072600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D91630"/>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E279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E2792"/>
    <w:pPr>
      <w:bidi/>
      <w:spacing w:after="0" w:line="240" w:lineRule="auto"/>
    </w:pPr>
    <w:rPr>
      <w:rFonts w:ascii="Times New Roman" w:eastAsia="Times New Roman" w:hAnsi="Times New Roman" w:cs="David"/>
      <w:noProof/>
      <w:sz w:val="24"/>
      <w:szCs w:val="24"/>
    </w:rPr>
  </w:style>
  <w:style w:type="paragraph" w:customStyle="1" w:styleId="4616DAE1B8FA4EA0BA5407661F798C98">
    <w:name w:val="4616DAE1B8FA4EA0BA5407661F798C98"/>
    <w:rsid w:val="002E279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3077</Words>
  <Characters>15385</Characters>
  <Application>Microsoft Office Word</Application>
  <DocSecurity>0</DocSecurity>
  <Lines>128</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2023-05-04T12:07:00Z</dcterms:created>
  <dcterms:modified xsi:type="dcterms:W3CDTF">2023-05-04T12:07:00Z</dcterms:modified>
</cp:coreProperties>
</file>